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6517A3" w14:textId="04B1A9B1" w:rsidR="00334405" w:rsidRPr="009C0B21" w:rsidRDefault="002D3C0C" w:rsidP="001A4F74">
      <w:pPr>
        <w:pStyle w:val="Title"/>
        <w:spacing w:before="0" w:after="0"/>
        <w:jc w:val="center"/>
        <w:rPr>
          <w:sz w:val="48"/>
          <w:lang w:val="fr-FR"/>
        </w:rPr>
      </w:pPr>
      <w:r w:rsidRPr="001A4F74">
        <w:rPr>
          <w:sz w:val="48"/>
          <w:szCs w:val="48"/>
          <w:lang w:val="fr-FR" w:bidi="fr-FR"/>
        </w:rPr>
        <w:t>Guide pour le suivi de l’indicateur 6.5.1 des ODD</w:t>
      </w:r>
    </w:p>
    <w:p w14:paraId="2048B0F8" w14:textId="13AB74D5" w:rsidR="00334405" w:rsidRPr="009C0B21" w:rsidRDefault="00477F54" w:rsidP="001A4F74">
      <w:pPr>
        <w:pStyle w:val="Title"/>
        <w:spacing w:before="0"/>
        <w:jc w:val="center"/>
        <w:rPr>
          <w:sz w:val="28"/>
          <w:lang w:val="fr-FR"/>
        </w:rPr>
      </w:pPr>
      <w:r w:rsidRPr="001A4F74">
        <w:rPr>
          <w:sz w:val="28"/>
          <w:szCs w:val="28"/>
          <w:lang w:val="fr-FR" w:bidi="fr-FR"/>
        </w:rPr>
        <w:t>Degré de mise en œuvre de la gestion intégrée des ressources en eau (0-100)</w:t>
      </w:r>
    </w:p>
    <w:p w14:paraId="1FB9CB2D" w14:textId="7BA76022" w:rsidR="00AC3EAC" w:rsidRDefault="00F02208" w:rsidP="00AC3EAC">
      <w:pPr>
        <w:pStyle w:val="Heading1"/>
      </w:pPr>
      <w:r>
        <w:rPr>
          <w:lang w:val="fr-FR" w:bidi="fr-FR"/>
        </w:rPr>
        <w:t>Introduction</w:t>
      </w:r>
    </w:p>
    <w:p w14:paraId="05CF53C5" w14:textId="36967509" w:rsidR="00984ACB" w:rsidRPr="009C0B21" w:rsidRDefault="00F02208" w:rsidP="006D537B">
      <w:pPr>
        <w:autoSpaceDE w:val="0"/>
        <w:autoSpaceDN w:val="0"/>
        <w:adjustRightInd w:val="0"/>
        <w:jc w:val="both"/>
        <w:rPr>
          <w:sz w:val="22"/>
          <w:szCs w:val="22"/>
        </w:rPr>
      </w:pPr>
      <w:r w:rsidRPr="00743CEC">
        <w:rPr>
          <w:sz w:val="22"/>
          <w:szCs w:val="22"/>
          <w:lang w:bidi="fr-FR"/>
        </w:rPr>
        <w:t xml:space="preserve">Le présent document sert de guide aux </w:t>
      </w:r>
      <w:r w:rsidR="00E74E1C">
        <w:rPr>
          <w:sz w:val="22"/>
          <w:szCs w:val="22"/>
          <w:lang w:bidi="fr-FR"/>
        </w:rPr>
        <w:t>points focaux</w:t>
      </w:r>
      <w:r w:rsidR="00E74E1C" w:rsidRPr="00743CEC" w:rsidDel="00E74E1C">
        <w:rPr>
          <w:sz w:val="22"/>
          <w:szCs w:val="22"/>
          <w:lang w:bidi="fr-FR"/>
        </w:rPr>
        <w:t xml:space="preserve"> </w:t>
      </w:r>
      <w:r w:rsidRPr="00743CEC">
        <w:rPr>
          <w:sz w:val="22"/>
          <w:szCs w:val="22"/>
          <w:lang w:bidi="fr-FR"/>
        </w:rPr>
        <w:t>nationaux chargés de l’élaboration de comptes rendus sur l’</w:t>
      </w:r>
      <w:proofErr w:type="spellStart"/>
      <w:r w:rsidRPr="00743CEC">
        <w:rPr>
          <w:sz w:val="22"/>
          <w:szCs w:val="22"/>
          <w:lang w:bidi="fr-FR"/>
        </w:rPr>
        <w:t>état</w:t>
      </w:r>
      <w:proofErr w:type="spellEnd"/>
      <w:r w:rsidRPr="00743CEC">
        <w:rPr>
          <w:sz w:val="22"/>
          <w:szCs w:val="22"/>
          <w:lang w:bidi="fr-FR"/>
        </w:rPr>
        <w:t xml:space="preserve"> d’avancement de l’indicateur 6.5.1 des objectifs de développement durable (ODD) relatif à la mise en œuvre de la gestion intégrée des ressources en eau (GIRE). La démarche de suivi repose sur un </w:t>
      </w:r>
      <w:hyperlink r:id="rId11" w:history="1">
        <w:r w:rsidR="00E74E1C">
          <w:rPr>
            <w:rStyle w:val="Hyperlink"/>
            <w:sz w:val="22"/>
            <w:szCs w:val="22"/>
            <w:lang w:bidi="fr-FR"/>
          </w:rPr>
          <w:t>questionnaire</w:t>
        </w:r>
        <w:r w:rsidR="00E74E1C" w:rsidRPr="00743CEC">
          <w:rPr>
            <w:rStyle w:val="Hyperlink"/>
            <w:sz w:val="22"/>
            <w:szCs w:val="22"/>
            <w:lang w:bidi="fr-FR"/>
          </w:rPr>
          <w:t xml:space="preserve"> d’enquête</w:t>
        </w:r>
      </w:hyperlink>
      <w:r w:rsidRPr="00743CEC">
        <w:rPr>
          <w:sz w:val="22"/>
          <w:szCs w:val="22"/>
          <w:lang w:bidi="fr-FR"/>
        </w:rPr>
        <w:t xml:space="preserve"> qui sera rempli tous les trois ans. Cet instrument fournit des conseils aux utilisateurs concernant la manière de le remplir et de calculer la note de l’indicateur. Le présent guide porte donc tout particulièrement sur les processus visant à remplir, soumettre et exploiter l</w:t>
      </w:r>
      <w:r w:rsidR="00E74E1C">
        <w:rPr>
          <w:sz w:val="22"/>
          <w:szCs w:val="22"/>
          <w:lang w:bidi="fr-FR"/>
        </w:rPr>
        <w:t xml:space="preserve">e </w:t>
      </w:r>
      <w:proofErr w:type="spellStart"/>
      <w:r w:rsidR="00E74E1C">
        <w:rPr>
          <w:sz w:val="22"/>
          <w:szCs w:val="22"/>
          <w:lang w:bidi="fr-FR"/>
        </w:rPr>
        <w:t>questionnaire</w:t>
      </w:r>
      <w:r w:rsidRPr="00743CEC">
        <w:rPr>
          <w:sz w:val="22"/>
          <w:szCs w:val="22"/>
          <w:lang w:bidi="fr-FR"/>
        </w:rPr>
        <w:t>d’enquête</w:t>
      </w:r>
      <w:proofErr w:type="spellEnd"/>
      <w:r w:rsidRPr="00743CEC">
        <w:rPr>
          <w:sz w:val="22"/>
          <w:szCs w:val="22"/>
          <w:lang w:bidi="fr-FR"/>
        </w:rPr>
        <w:t xml:space="preserve">. Les pays sont invités à nommer des </w:t>
      </w:r>
      <w:r w:rsidR="00E74E1C">
        <w:rPr>
          <w:sz w:val="22"/>
          <w:szCs w:val="22"/>
          <w:lang w:bidi="fr-FR"/>
        </w:rPr>
        <w:t>points focaux</w:t>
      </w:r>
      <w:r w:rsidR="00E74E1C" w:rsidRPr="00743CEC" w:rsidDel="00E74E1C">
        <w:rPr>
          <w:sz w:val="22"/>
          <w:szCs w:val="22"/>
          <w:lang w:bidi="fr-FR"/>
        </w:rPr>
        <w:t xml:space="preserve"> </w:t>
      </w:r>
      <w:r w:rsidRPr="00743CEC">
        <w:rPr>
          <w:sz w:val="22"/>
          <w:szCs w:val="22"/>
          <w:lang w:bidi="fr-FR"/>
        </w:rPr>
        <w:t xml:space="preserve">nationaux pour l’indicateur 6.5.1, lesquels coordonneront le processus d’élaboration de comptes rendus. </w:t>
      </w:r>
      <w:r w:rsidR="00AB5243" w:rsidRPr="00743CEC">
        <w:rPr>
          <w:rFonts w:eastAsia="Times New Roman" w:cs="Times New Roman"/>
          <w:sz w:val="22"/>
          <w:szCs w:val="22"/>
          <w:lang w:bidi="fr-FR"/>
        </w:rPr>
        <w:t xml:space="preserve">Un </w:t>
      </w:r>
      <w:r w:rsidR="00E74E1C">
        <w:rPr>
          <w:sz w:val="22"/>
          <w:szCs w:val="22"/>
          <w:lang w:bidi="fr-FR"/>
        </w:rPr>
        <w:t>point focal</w:t>
      </w:r>
      <w:r w:rsidR="00E74E1C" w:rsidRPr="00743CEC" w:rsidDel="00E74E1C">
        <w:rPr>
          <w:rFonts w:eastAsia="Times New Roman" w:cs="Times New Roman"/>
          <w:sz w:val="22"/>
          <w:szCs w:val="22"/>
          <w:lang w:bidi="fr-FR"/>
        </w:rPr>
        <w:t xml:space="preserve"> </w:t>
      </w:r>
      <w:r w:rsidR="00AB5243" w:rsidRPr="00743CEC">
        <w:rPr>
          <w:rFonts w:eastAsia="Times New Roman" w:cs="Times New Roman"/>
          <w:sz w:val="22"/>
          <w:szCs w:val="22"/>
          <w:lang w:bidi="fr-FR"/>
        </w:rPr>
        <w:t xml:space="preserve">national est généralement un fonctionnaire au sein d’un ministère qui dispose de responsabilités liées aux ressources en eau dans le pays. </w:t>
      </w:r>
      <w:r w:rsidRPr="00743CEC">
        <w:rPr>
          <w:sz w:val="22"/>
          <w:szCs w:val="22"/>
          <w:lang w:bidi="fr-FR"/>
        </w:rPr>
        <w:t xml:space="preserve">En 2017, 172 pays ont aidé à définir le </w:t>
      </w:r>
      <w:hyperlink r:id="rId12" w:history="1">
        <w:r w:rsidR="00C7512B" w:rsidRPr="00705BE5">
          <w:rPr>
            <w:rStyle w:val="Hyperlink"/>
            <w:sz w:val="22"/>
            <w:szCs w:val="22"/>
            <w:lang w:bidi="fr-FR"/>
          </w:rPr>
          <w:t>cadre de référence</w:t>
        </w:r>
      </w:hyperlink>
      <w:r w:rsidRPr="00743CEC">
        <w:rPr>
          <w:sz w:val="22"/>
          <w:szCs w:val="22"/>
          <w:lang w:bidi="fr-FR"/>
        </w:rPr>
        <w:t xml:space="preserve"> pour l’indicateur 6.5.1 des ODD. Une deuxième campagne de collecte de données aura lieu en 2020. </w:t>
      </w:r>
    </w:p>
    <w:p w14:paraId="087ACC99" w14:textId="707C55A7" w:rsidR="00984ACB" w:rsidRPr="009C0B21" w:rsidRDefault="00984ACB" w:rsidP="006D537B">
      <w:pPr>
        <w:autoSpaceDE w:val="0"/>
        <w:autoSpaceDN w:val="0"/>
        <w:adjustRightInd w:val="0"/>
        <w:jc w:val="both"/>
        <w:rPr>
          <w:sz w:val="22"/>
          <w:szCs w:val="22"/>
        </w:rPr>
      </w:pPr>
      <w:r w:rsidRPr="00743CEC">
        <w:rPr>
          <w:sz w:val="22"/>
          <w:szCs w:val="22"/>
          <w:lang w:bidi="fr-FR"/>
        </w:rPr>
        <w:t>Le présent guide comprend les grandes sections suivantes :</w:t>
      </w:r>
    </w:p>
    <w:p w14:paraId="5B66B08A" w14:textId="1AD3B406" w:rsidR="00984ACB" w:rsidRPr="009C0B21" w:rsidRDefault="00984ACB" w:rsidP="00984ACB">
      <w:pPr>
        <w:pStyle w:val="ListParagraph"/>
        <w:numPr>
          <w:ilvl w:val="0"/>
          <w:numId w:val="18"/>
        </w:numPr>
        <w:autoSpaceDE w:val="0"/>
        <w:autoSpaceDN w:val="0"/>
        <w:adjustRightInd w:val="0"/>
        <w:rPr>
          <w:sz w:val="22"/>
          <w:szCs w:val="22"/>
        </w:rPr>
      </w:pPr>
      <w:r w:rsidRPr="00743CEC">
        <w:rPr>
          <w:sz w:val="22"/>
          <w:szCs w:val="22"/>
          <w:lang w:bidi="fr-FR"/>
        </w:rPr>
        <w:t>Section 2 : Recommandations sur les processus nationaux en matière de suivi et d’élaboration de comptes rendus</w:t>
      </w:r>
    </w:p>
    <w:p w14:paraId="6451D66C" w14:textId="46AE0E24" w:rsidR="00984ACB" w:rsidRPr="00743CEC" w:rsidRDefault="00984ACB" w:rsidP="00984ACB">
      <w:pPr>
        <w:pStyle w:val="ListParagraph"/>
        <w:numPr>
          <w:ilvl w:val="0"/>
          <w:numId w:val="18"/>
        </w:numPr>
        <w:autoSpaceDE w:val="0"/>
        <w:autoSpaceDN w:val="0"/>
        <w:adjustRightInd w:val="0"/>
        <w:rPr>
          <w:sz w:val="22"/>
          <w:szCs w:val="22"/>
          <w:lang w:val="en-GB"/>
        </w:rPr>
      </w:pPr>
      <w:r w:rsidRPr="00743CEC">
        <w:rPr>
          <w:sz w:val="22"/>
          <w:szCs w:val="22"/>
          <w:lang w:bidi="fr-FR"/>
        </w:rPr>
        <w:t>Section 3 : Définition des cibles</w:t>
      </w:r>
    </w:p>
    <w:p w14:paraId="566D00EF" w14:textId="41206A4A" w:rsidR="00984ACB" w:rsidRPr="009C0B21" w:rsidRDefault="00984ACB" w:rsidP="00984ACB">
      <w:pPr>
        <w:pStyle w:val="ListParagraph"/>
        <w:numPr>
          <w:ilvl w:val="0"/>
          <w:numId w:val="18"/>
        </w:numPr>
        <w:autoSpaceDE w:val="0"/>
        <w:autoSpaceDN w:val="0"/>
        <w:adjustRightInd w:val="0"/>
        <w:rPr>
          <w:sz w:val="22"/>
          <w:szCs w:val="22"/>
        </w:rPr>
      </w:pPr>
      <w:r w:rsidRPr="00743CEC">
        <w:rPr>
          <w:sz w:val="22"/>
          <w:szCs w:val="22"/>
          <w:lang w:bidi="fr-FR"/>
        </w:rPr>
        <w:t>Section 4 : Utilisation d</w:t>
      </w:r>
      <w:r w:rsidR="00E74E1C">
        <w:rPr>
          <w:sz w:val="22"/>
          <w:szCs w:val="22"/>
          <w:lang w:bidi="fr-FR"/>
        </w:rPr>
        <w:t>u</w:t>
      </w:r>
      <w:r w:rsidR="00E74E1C" w:rsidRPr="00E74E1C">
        <w:rPr>
          <w:sz w:val="22"/>
          <w:szCs w:val="22"/>
          <w:lang w:bidi="fr-FR"/>
        </w:rPr>
        <w:t xml:space="preserve"> </w:t>
      </w:r>
      <w:r w:rsidR="00E74E1C">
        <w:rPr>
          <w:sz w:val="22"/>
          <w:szCs w:val="22"/>
          <w:lang w:bidi="fr-FR"/>
        </w:rPr>
        <w:t>questionnaire</w:t>
      </w:r>
      <w:r w:rsidR="00E74E1C" w:rsidRPr="00743CEC">
        <w:rPr>
          <w:sz w:val="22"/>
          <w:szCs w:val="22"/>
          <w:lang w:bidi="fr-FR"/>
        </w:rPr>
        <w:t xml:space="preserve"> </w:t>
      </w:r>
      <w:r w:rsidRPr="00743CEC">
        <w:rPr>
          <w:sz w:val="22"/>
          <w:szCs w:val="22"/>
          <w:lang w:bidi="fr-FR"/>
        </w:rPr>
        <w:t>d’enquête dans la planification nationale</w:t>
      </w:r>
    </w:p>
    <w:p w14:paraId="37EEA64E" w14:textId="139A824F" w:rsidR="00984ACB" w:rsidRPr="009C0B21" w:rsidRDefault="00984ACB" w:rsidP="00984ACB">
      <w:pPr>
        <w:pStyle w:val="ListParagraph"/>
        <w:numPr>
          <w:ilvl w:val="0"/>
          <w:numId w:val="18"/>
        </w:numPr>
        <w:autoSpaceDE w:val="0"/>
        <w:autoSpaceDN w:val="0"/>
        <w:adjustRightInd w:val="0"/>
        <w:rPr>
          <w:sz w:val="22"/>
          <w:szCs w:val="22"/>
        </w:rPr>
      </w:pPr>
      <w:r w:rsidRPr="00743CEC">
        <w:rPr>
          <w:sz w:val="22"/>
          <w:szCs w:val="22"/>
          <w:lang w:bidi="fr-FR"/>
        </w:rPr>
        <w:t xml:space="preserve">Section 5 : Différences par rapport </w:t>
      </w:r>
      <w:r w:rsidR="00E74E1C">
        <w:rPr>
          <w:sz w:val="22"/>
          <w:szCs w:val="22"/>
          <w:lang w:bidi="fr-FR"/>
        </w:rPr>
        <w:t>au</w:t>
      </w:r>
      <w:r w:rsidR="00E74E1C" w:rsidRPr="00E74E1C">
        <w:rPr>
          <w:sz w:val="22"/>
          <w:szCs w:val="22"/>
          <w:lang w:bidi="fr-FR"/>
        </w:rPr>
        <w:t xml:space="preserve"> </w:t>
      </w:r>
      <w:r w:rsidR="00E74E1C">
        <w:rPr>
          <w:sz w:val="22"/>
          <w:szCs w:val="22"/>
          <w:lang w:bidi="fr-FR"/>
        </w:rPr>
        <w:t>questionnaire</w:t>
      </w:r>
      <w:r w:rsidR="00E74E1C" w:rsidRPr="00743CEC">
        <w:rPr>
          <w:sz w:val="22"/>
          <w:szCs w:val="22"/>
          <w:lang w:bidi="fr-FR"/>
        </w:rPr>
        <w:t xml:space="preserve"> </w:t>
      </w:r>
      <w:r w:rsidRPr="00743CEC">
        <w:rPr>
          <w:sz w:val="22"/>
          <w:szCs w:val="22"/>
          <w:lang w:bidi="fr-FR"/>
        </w:rPr>
        <w:t>d’enquête de référence</w:t>
      </w:r>
    </w:p>
    <w:p w14:paraId="276CAC1C" w14:textId="029D7CB2" w:rsidR="00984ACB" w:rsidRPr="00743CEC" w:rsidRDefault="00984ACB" w:rsidP="00984ACB">
      <w:pPr>
        <w:pStyle w:val="ListParagraph"/>
        <w:numPr>
          <w:ilvl w:val="0"/>
          <w:numId w:val="18"/>
        </w:numPr>
        <w:autoSpaceDE w:val="0"/>
        <w:autoSpaceDN w:val="0"/>
        <w:adjustRightInd w:val="0"/>
        <w:rPr>
          <w:sz w:val="22"/>
          <w:szCs w:val="22"/>
          <w:lang w:val="en-GB"/>
        </w:rPr>
      </w:pPr>
      <w:r w:rsidRPr="00743CEC">
        <w:rPr>
          <w:sz w:val="22"/>
          <w:szCs w:val="22"/>
          <w:lang w:bidi="fr-FR"/>
        </w:rPr>
        <w:t>Section 6 : Transmission et service d’assistance</w:t>
      </w:r>
    </w:p>
    <w:p w14:paraId="0623EF43" w14:textId="77777777" w:rsidR="00D8506A" w:rsidRPr="005B629E" w:rsidRDefault="00D8506A" w:rsidP="00D8506A">
      <w:pPr>
        <w:pStyle w:val="Heading2"/>
      </w:pPr>
      <w:r w:rsidRPr="005B629E">
        <w:rPr>
          <w:lang w:val="fr-FR" w:bidi="fr-FR"/>
        </w:rPr>
        <w:t>Résumé de l’indicateur</w:t>
      </w:r>
    </w:p>
    <w:p w14:paraId="2B9E90AB" w14:textId="77777777" w:rsidR="00D8506A" w:rsidRPr="009C0B21" w:rsidRDefault="00D8506A" w:rsidP="00D8506A">
      <w:pPr>
        <w:rPr>
          <w:sz w:val="22"/>
          <w:szCs w:val="22"/>
        </w:rPr>
      </w:pPr>
      <w:r w:rsidRPr="00743CEC">
        <w:rPr>
          <w:b/>
          <w:sz w:val="22"/>
          <w:szCs w:val="22"/>
          <w:lang w:bidi="fr-FR"/>
        </w:rPr>
        <w:t>Cible 6.5</w:t>
      </w:r>
      <w:r w:rsidRPr="00743CEC">
        <w:rPr>
          <w:sz w:val="22"/>
          <w:szCs w:val="22"/>
          <w:lang w:bidi="fr-FR"/>
        </w:rPr>
        <w:tab/>
        <w:t>D’ici à 2030, assurer la gestion intégrée des ressources en eau à tous les niveaux, y compris au moyen de la coopération transfrontière selon qu’il convient.</w:t>
      </w:r>
    </w:p>
    <w:p w14:paraId="7D20B3DA" w14:textId="77777777" w:rsidR="00D8506A" w:rsidRPr="009C0B21" w:rsidRDefault="00D8506A" w:rsidP="00D8506A">
      <w:pPr>
        <w:rPr>
          <w:sz w:val="22"/>
          <w:szCs w:val="22"/>
        </w:rPr>
      </w:pPr>
      <w:r w:rsidRPr="00743CEC">
        <w:rPr>
          <w:b/>
          <w:sz w:val="22"/>
          <w:szCs w:val="22"/>
          <w:lang w:bidi="fr-FR"/>
        </w:rPr>
        <w:t>Indicateur 6.5.1</w:t>
      </w:r>
      <w:r w:rsidRPr="00743CEC">
        <w:rPr>
          <w:sz w:val="22"/>
          <w:szCs w:val="22"/>
          <w:lang w:bidi="fr-FR"/>
        </w:rPr>
        <w:tab/>
        <w:t>Degré de mise en œuvre de la GIRE (0-100).</w:t>
      </w:r>
    </w:p>
    <w:p w14:paraId="6AA0BA30" w14:textId="2985D9FB" w:rsidR="00D8506A" w:rsidRPr="009C0B21" w:rsidRDefault="00D8506A" w:rsidP="00D8506A">
      <w:pPr>
        <w:rPr>
          <w:sz w:val="22"/>
          <w:szCs w:val="22"/>
        </w:rPr>
      </w:pPr>
      <w:r w:rsidRPr="00743CEC">
        <w:rPr>
          <w:sz w:val="22"/>
          <w:szCs w:val="22"/>
          <w:lang w:bidi="fr-FR"/>
        </w:rPr>
        <w:t xml:space="preserve">L’indicateur est déterminé d’après les résultats d’un </w:t>
      </w:r>
      <w:r w:rsidR="00E74E1C">
        <w:rPr>
          <w:sz w:val="22"/>
          <w:szCs w:val="22"/>
          <w:lang w:bidi="fr-FR"/>
        </w:rPr>
        <w:t>questionnaire</w:t>
      </w:r>
      <w:r w:rsidR="00E74E1C" w:rsidRPr="00743CEC" w:rsidDel="00E74E1C">
        <w:rPr>
          <w:sz w:val="22"/>
          <w:szCs w:val="22"/>
          <w:lang w:bidi="fr-FR"/>
        </w:rPr>
        <w:t xml:space="preserve"> </w:t>
      </w:r>
      <w:r w:rsidRPr="00743CEC">
        <w:rPr>
          <w:sz w:val="22"/>
          <w:szCs w:val="22"/>
          <w:lang w:bidi="fr-FR"/>
        </w:rPr>
        <w:t xml:space="preserve">d’enquête relatif à la GIRE tel que décrit ci-dessous. </w:t>
      </w:r>
    </w:p>
    <w:p w14:paraId="07908F2F" w14:textId="0E20FF9F" w:rsidR="005029B3" w:rsidRPr="009C0B21" w:rsidRDefault="005029B3" w:rsidP="005029B3">
      <w:pPr>
        <w:pStyle w:val="Heading2"/>
        <w:rPr>
          <w:lang w:val="fr-FR"/>
        </w:rPr>
      </w:pPr>
      <w:r w:rsidRPr="005B629E">
        <w:rPr>
          <w:lang w:val="fr-FR" w:bidi="fr-FR"/>
        </w:rPr>
        <w:t xml:space="preserve">Pourquoi élaborer des comptes rendus relatifs à l’indicateur 6.5.1 ? </w:t>
      </w:r>
    </w:p>
    <w:p w14:paraId="2C77B612" w14:textId="4A4E2B63" w:rsidR="005029B3" w:rsidRPr="009C0B21" w:rsidRDefault="005B629E" w:rsidP="006D537B">
      <w:pPr>
        <w:jc w:val="both"/>
        <w:rPr>
          <w:sz w:val="22"/>
          <w:szCs w:val="22"/>
        </w:rPr>
      </w:pPr>
      <w:r w:rsidRPr="003D166E">
        <w:rPr>
          <w:rFonts w:eastAsia="Times New Roman"/>
          <w:color w:val="000000"/>
          <w:sz w:val="22"/>
          <w:szCs w:val="22"/>
          <w:lang w:bidi="fr-FR"/>
        </w:rPr>
        <w:t>Le principal objectif d</w:t>
      </w:r>
      <w:r w:rsidR="00E74E1C">
        <w:rPr>
          <w:rFonts w:eastAsia="Times New Roman"/>
          <w:color w:val="000000"/>
          <w:sz w:val="22"/>
          <w:szCs w:val="22"/>
          <w:lang w:bidi="fr-FR"/>
        </w:rPr>
        <w:t>u</w:t>
      </w:r>
      <w:r w:rsidR="00E74E1C" w:rsidRPr="00E74E1C">
        <w:rPr>
          <w:sz w:val="22"/>
          <w:szCs w:val="22"/>
          <w:lang w:bidi="fr-FR"/>
        </w:rPr>
        <w:t xml:space="preserve"> </w:t>
      </w:r>
      <w:r w:rsidR="00E74E1C">
        <w:rPr>
          <w:sz w:val="22"/>
          <w:szCs w:val="22"/>
          <w:lang w:bidi="fr-FR"/>
        </w:rPr>
        <w:t>questionnaire</w:t>
      </w:r>
      <w:r w:rsidR="00E74E1C" w:rsidRPr="003D166E">
        <w:rPr>
          <w:rFonts w:eastAsia="Times New Roman"/>
          <w:color w:val="000000"/>
          <w:sz w:val="22"/>
          <w:szCs w:val="22"/>
          <w:lang w:bidi="fr-FR"/>
        </w:rPr>
        <w:t xml:space="preserve"> </w:t>
      </w:r>
      <w:r w:rsidRPr="003D166E">
        <w:rPr>
          <w:rFonts w:eastAsia="Times New Roman"/>
          <w:color w:val="000000"/>
          <w:sz w:val="22"/>
          <w:szCs w:val="22"/>
          <w:lang w:bidi="fr-FR"/>
        </w:rPr>
        <w:t xml:space="preserve">d’enquête est de fournir, à l’échelle mondiale, un suivi et des comptes rendus relatifs à l’indicateur 6.5.1. Cet instrument a été conçu pour servir d’outil de diagnostic simple afin que les pays </w:t>
      </w:r>
      <w:proofErr w:type="gramStart"/>
      <w:r w:rsidRPr="003D166E">
        <w:rPr>
          <w:rFonts w:eastAsia="Times New Roman"/>
          <w:color w:val="000000"/>
          <w:sz w:val="22"/>
          <w:szCs w:val="22"/>
          <w:lang w:bidi="fr-FR"/>
        </w:rPr>
        <w:t>puissent</w:t>
      </w:r>
      <w:proofErr w:type="gramEnd"/>
      <w:r w:rsidRPr="003D166E">
        <w:rPr>
          <w:rFonts w:eastAsia="Times New Roman"/>
          <w:color w:val="000000"/>
          <w:sz w:val="22"/>
          <w:szCs w:val="22"/>
          <w:lang w:bidi="fr-FR"/>
        </w:rPr>
        <w:t xml:space="preserve"> repérer leurs forces et leurs faiblesses concernant différents aspects de la mise en œuvre de la GIRE. Les échanges intersectoriels à différents niveaux sont mis en valeur dans le processus de réponse au questionnaire. L</w:t>
      </w:r>
      <w:r w:rsidR="00E74E1C">
        <w:rPr>
          <w:rFonts w:eastAsia="Times New Roman"/>
          <w:color w:val="000000"/>
          <w:sz w:val="22"/>
          <w:szCs w:val="22"/>
          <w:lang w:bidi="fr-FR"/>
        </w:rPr>
        <w:t>e</w:t>
      </w:r>
      <w:r w:rsidR="00E74E1C" w:rsidRPr="00E74E1C">
        <w:rPr>
          <w:sz w:val="22"/>
          <w:szCs w:val="22"/>
          <w:lang w:bidi="fr-FR"/>
        </w:rPr>
        <w:t xml:space="preserve"> </w:t>
      </w:r>
      <w:proofErr w:type="spellStart"/>
      <w:r w:rsidR="00E74E1C">
        <w:rPr>
          <w:sz w:val="22"/>
          <w:szCs w:val="22"/>
          <w:lang w:bidi="fr-FR"/>
        </w:rPr>
        <w:t>questionnaire</w:t>
      </w:r>
      <w:r w:rsidRPr="003D166E">
        <w:rPr>
          <w:rFonts w:eastAsia="Times New Roman"/>
          <w:color w:val="000000"/>
          <w:sz w:val="22"/>
          <w:szCs w:val="22"/>
          <w:lang w:bidi="fr-FR"/>
        </w:rPr>
        <w:t>d’enquête</w:t>
      </w:r>
      <w:proofErr w:type="spellEnd"/>
      <w:r w:rsidRPr="003D166E">
        <w:rPr>
          <w:rFonts w:eastAsia="Times New Roman"/>
          <w:color w:val="000000"/>
          <w:sz w:val="22"/>
          <w:szCs w:val="22"/>
          <w:lang w:bidi="fr-FR"/>
        </w:rPr>
        <w:t xml:space="preserve"> tout comme la démarche de réponse sont destinés à servir lors des processus de planification nationale. Ces derniers visent à accélérer la mise en œuvre de la GIRE et, de ce fait, à soutenir la réalisation de la cible 6.5 des ODD : «</w:t>
      </w:r>
      <w:r w:rsidR="00405255" w:rsidRPr="00743CEC">
        <w:rPr>
          <w:sz w:val="22"/>
          <w:szCs w:val="22"/>
          <w:lang w:bidi="fr-FR"/>
        </w:rPr>
        <w:t xml:space="preserve"> D’ici à 2030, assurer la gestion intégrée des ressources en eau à tous les niveaux, y compris au moyen de la coopération transfrontière selon qu’il convient. » </w:t>
      </w:r>
    </w:p>
    <w:p w14:paraId="21575632" w14:textId="5D59CCA4" w:rsidR="00D260AB" w:rsidRPr="009C0B21" w:rsidRDefault="00D260AB" w:rsidP="006D537B">
      <w:pPr>
        <w:jc w:val="both"/>
        <w:rPr>
          <w:sz w:val="22"/>
          <w:szCs w:val="22"/>
        </w:rPr>
      </w:pPr>
      <w:r w:rsidRPr="00743CEC">
        <w:rPr>
          <w:sz w:val="22"/>
          <w:szCs w:val="22"/>
          <w:lang w:bidi="fr-FR"/>
        </w:rPr>
        <w:lastRenderedPageBreak/>
        <w:t xml:space="preserve">La GIRE est un processus qui favorise la gestion et la mise en valeur coordonnée des ressources en eau, des terres et des ressources connexes en vue d’optimiser, de manière équitable, le bien-être économique et social qui en découle sans compromettre la pérennité des écosystèmes vitaux. Elle ne constitue pas une fin en soi, mais un moyen d’atteindre trois principaux objectifs : </w:t>
      </w:r>
    </w:p>
    <w:p w14:paraId="2E927171" w14:textId="77777777" w:rsidR="00D260AB" w:rsidRPr="009C0B21" w:rsidRDefault="00D260AB" w:rsidP="00D260AB">
      <w:pPr>
        <w:pStyle w:val="ListParagraph"/>
        <w:numPr>
          <w:ilvl w:val="0"/>
          <w:numId w:val="4"/>
        </w:numPr>
        <w:rPr>
          <w:sz w:val="22"/>
          <w:szCs w:val="22"/>
        </w:rPr>
      </w:pPr>
      <w:proofErr w:type="gramStart"/>
      <w:r w:rsidRPr="00743CEC">
        <w:rPr>
          <w:sz w:val="22"/>
          <w:szCs w:val="22"/>
          <w:lang w:bidi="fr-FR"/>
        </w:rPr>
        <w:t>efficacité</w:t>
      </w:r>
      <w:proofErr w:type="gramEnd"/>
      <w:r w:rsidRPr="00743CEC">
        <w:rPr>
          <w:sz w:val="22"/>
          <w:szCs w:val="22"/>
          <w:lang w:bidi="fr-FR"/>
        </w:rPr>
        <w:t xml:space="preserve"> économique, afin d’utiliser au mieux les ressources en eau ;</w:t>
      </w:r>
    </w:p>
    <w:p w14:paraId="4316B525" w14:textId="77777777" w:rsidR="00D260AB" w:rsidRPr="009C0B21" w:rsidRDefault="00D260AB" w:rsidP="00D260AB">
      <w:pPr>
        <w:pStyle w:val="ListParagraph"/>
        <w:numPr>
          <w:ilvl w:val="0"/>
          <w:numId w:val="4"/>
        </w:numPr>
        <w:rPr>
          <w:sz w:val="22"/>
          <w:szCs w:val="22"/>
        </w:rPr>
      </w:pPr>
      <w:proofErr w:type="gramStart"/>
      <w:r w:rsidRPr="00743CEC">
        <w:rPr>
          <w:sz w:val="22"/>
          <w:szCs w:val="22"/>
          <w:lang w:bidi="fr-FR"/>
        </w:rPr>
        <w:t>répartition</w:t>
      </w:r>
      <w:proofErr w:type="gramEnd"/>
      <w:r w:rsidRPr="00743CEC">
        <w:rPr>
          <w:sz w:val="22"/>
          <w:szCs w:val="22"/>
          <w:lang w:bidi="fr-FR"/>
        </w:rPr>
        <w:t xml:space="preserve"> équitable de l’eau entre les groupes sociaux et économiques ;</w:t>
      </w:r>
    </w:p>
    <w:p w14:paraId="59303604" w14:textId="77777777" w:rsidR="00D260AB" w:rsidRPr="009C0B21" w:rsidRDefault="00D260AB" w:rsidP="00D260AB">
      <w:pPr>
        <w:pStyle w:val="ListParagraph"/>
        <w:numPr>
          <w:ilvl w:val="0"/>
          <w:numId w:val="4"/>
        </w:numPr>
        <w:rPr>
          <w:sz w:val="22"/>
          <w:szCs w:val="22"/>
        </w:rPr>
      </w:pPr>
      <w:proofErr w:type="gramStart"/>
      <w:r w:rsidRPr="00743CEC">
        <w:rPr>
          <w:sz w:val="22"/>
          <w:szCs w:val="22"/>
          <w:lang w:bidi="fr-FR"/>
        </w:rPr>
        <w:t>durabilité</w:t>
      </w:r>
      <w:proofErr w:type="gramEnd"/>
      <w:r w:rsidRPr="00743CEC">
        <w:rPr>
          <w:sz w:val="22"/>
          <w:szCs w:val="22"/>
          <w:lang w:bidi="fr-FR"/>
        </w:rPr>
        <w:t xml:space="preserve"> environnementale, afin de protéger la base de ressources en eau et les écosystèmes qui lui sont liés.</w:t>
      </w:r>
    </w:p>
    <w:p w14:paraId="113E45A5" w14:textId="69654148" w:rsidR="005E47ED" w:rsidRPr="009C0B21" w:rsidRDefault="00D260AB" w:rsidP="006D537B">
      <w:pPr>
        <w:jc w:val="both"/>
        <w:rPr>
          <w:sz w:val="22"/>
          <w:szCs w:val="22"/>
        </w:rPr>
      </w:pPr>
      <w:r w:rsidRPr="00743CEC">
        <w:rPr>
          <w:sz w:val="22"/>
          <w:szCs w:val="22"/>
          <w:lang w:bidi="fr-FR"/>
        </w:rPr>
        <w:t xml:space="preserve">La mise en œuvre de la GIRE soutient donc les efforts de réalisation d’autres cibles de l’ODD 6 (Garantir l’accès de tous à des services d’alimentation en eau et d’assainissement gérés de façon durable) ainsi qu’au sein d’autres ODD liés à l’eau. </w:t>
      </w:r>
    </w:p>
    <w:p w14:paraId="5D2192BC" w14:textId="356C62D1" w:rsidR="007D6DEA" w:rsidRPr="0017193E" w:rsidRDefault="007D6DEA" w:rsidP="007D6DEA">
      <w:pPr>
        <w:pStyle w:val="Heading2"/>
        <w:rPr>
          <w:lang w:val="fr-FR"/>
        </w:rPr>
      </w:pPr>
      <w:r w:rsidRPr="00743CEC">
        <w:rPr>
          <w:lang w:val="fr-FR" w:bidi="fr-FR"/>
        </w:rPr>
        <w:t>Présentation d</w:t>
      </w:r>
      <w:r w:rsidR="00E74E1C">
        <w:rPr>
          <w:lang w:val="fr-FR" w:bidi="fr-FR"/>
        </w:rPr>
        <w:t>u</w:t>
      </w:r>
      <w:r w:rsidR="00E74E1C" w:rsidRPr="0017193E">
        <w:rPr>
          <w:lang w:val="fr-FR" w:bidi="fr-FR"/>
        </w:rPr>
        <w:t xml:space="preserve"> questionnaire</w:t>
      </w:r>
      <w:r w:rsidR="00E74E1C" w:rsidRPr="00743CEC">
        <w:rPr>
          <w:lang w:val="fr-FR" w:bidi="fr-FR"/>
        </w:rPr>
        <w:t xml:space="preserve"> </w:t>
      </w:r>
      <w:r w:rsidRPr="00743CEC">
        <w:rPr>
          <w:lang w:val="fr-FR" w:bidi="fr-FR"/>
        </w:rPr>
        <w:t>d’enquête</w:t>
      </w:r>
    </w:p>
    <w:p w14:paraId="6C072078" w14:textId="77777777" w:rsidR="007D6DEA" w:rsidRPr="009C0B21" w:rsidRDefault="007D6DEA" w:rsidP="006D537B">
      <w:pPr>
        <w:jc w:val="both"/>
        <w:rPr>
          <w:sz w:val="22"/>
          <w:szCs w:val="22"/>
        </w:rPr>
      </w:pPr>
      <w:r w:rsidRPr="00743CEC">
        <w:rPr>
          <w:sz w:val="22"/>
          <w:szCs w:val="22"/>
          <w:lang w:bidi="fr-FR"/>
        </w:rPr>
        <w:t xml:space="preserve">Une trentaine de questions couvrant différents aspects de la GIRE sont réparties sur quatre sections : environnement favorable, institutions et participation, instruments de gestion, et financement. Chaque section comprend deux sous-sections : la première concerne le niveau national, tandis que la seconde s’applique « à tous les niveaux », y compris </w:t>
      </w:r>
      <w:proofErr w:type="gramStart"/>
      <w:r w:rsidRPr="00743CEC">
        <w:rPr>
          <w:sz w:val="22"/>
          <w:szCs w:val="22"/>
          <w:lang w:bidi="fr-FR"/>
        </w:rPr>
        <w:t>aux niveaux infranational</w:t>
      </w:r>
      <w:proofErr w:type="gramEnd"/>
      <w:r w:rsidRPr="00743CEC">
        <w:rPr>
          <w:sz w:val="22"/>
          <w:szCs w:val="22"/>
          <w:lang w:bidi="fr-FR"/>
        </w:rPr>
        <w:t xml:space="preserve">, des bassins/aquifères, et transfrontière, selon les cas. </w:t>
      </w:r>
    </w:p>
    <w:p w14:paraId="68758431" w14:textId="27C4B8B9" w:rsidR="007D6DEA" w:rsidRPr="00743CEC" w:rsidRDefault="007D6DEA" w:rsidP="006D537B">
      <w:pPr>
        <w:jc w:val="both"/>
        <w:rPr>
          <w:sz w:val="22"/>
          <w:szCs w:val="22"/>
        </w:rPr>
      </w:pPr>
      <w:r w:rsidRPr="00743CEC">
        <w:rPr>
          <w:sz w:val="22"/>
          <w:szCs w:val="22"/>
          <w:lang w:bidi="fr-FR"/>
        </w:rPr>
        <w:t xml:space="preserve">Chaque question est notée sur une échelle de 0 à 100, selon la description des seuils. Une moyenne des notes est établie pour définir la note globale de l’indicateur, toujours sur une échelle de 0 à 100. Les personnes interrogées sont fortement encouragées à fournir des informations complémentaires dans les champs laissés vides à cet effet sous les questions (« État d’avancement » et « Perspectives </w:t>
      </w:r>
      <w:r w:rsidR="00F07A0C">
        <w:rPr>
          <w:sz w:val="22"/>
          <w:szCs w:val="22"/>
          <w:lang w:bidi="fr-FR"/>
        </w:rPr>
        <w:t>pour l</w:t>
      </w:r>
      <w:r w:rsidRPr="00743CEC">
        <w:rPr>
          <w:sz w:val="22"/>
          <w:szCs w:val="22"/>
          <w:lang w:bidi="fr-FR"/>
        </w:rPr>
        <w:t xml:space="preserve">’avenir », voir section 5 du présent guide). </w:t>
      </w:r>
    </w:p>
    <w:p w14:paraId="01EEE4E3" w14:textId="2E0DA401" w:rsidR="00AC3EAC" w:rsidRPr="009C0B21" w:rsidRDefault="007D6DEA" w:rsidP="00AC3EAC">
      <w:pPr>
        <w:pStyle w:val="Heading1"/>
        <w:rPr>
          <w:lang w:val="fr-FR"/>
        </w:rPr>
      </w:pPr>
      <w:r w:rsidRPr="007D6DEA">
        <w:rPr>
          <w:lang w:val="fr-FR" w:bidi="fr-FR"/>
        </w:rPr>
        <w:t>Recommandations sur les processus nationaux en matière de suivi et d’élaboration de comptes rendus</w:t>
      </w:r>
    </w:p>
    <w:p w14:paraId="219C485D" w14:textId="12CDA515" w:rsidR="00530F2F" w:rsidRDefault="00AC67C2" w:rsidP="005A103A">
      <w:pPr>
        <w:jc w:val="both"/>
        <w:rPr>
          <w:rFonts w:eastAsia="Times New Roman" w:cs="Times New Roman"/>
          <w:sz w:val="22"/>
          <w:szCs w:val="22"/>
        </w:rPr>
      </w:pPr>
      <w:r w:rsidRPr="00743CEC">
        <w:rPr>
          <w:rFonts w:eastAsia="Times New Roman" w:cs="Times New Roman"/>
          <w:sz w:val="22"/>
          <w:szCs w:val="22"/>
          <w:lang w:bidi="fr-FR"/>
        </w:rPr>
        <w:t xml:space="preserve">Le </w:t>
      </w:r>
      <w:r w:rsidR="00E74E1C">
        <w:rPr>
          <w:rFonts w:eastAsia="Times New Roman" w:cs="Times New Roman"/>
          <w:sz w:val="22"/>
          <w:szCs w:val="22"/>
          <w:lang w:bidi="fr-FR"/>
        </w:rPr>
        <w:t>point focal</w:t>
      </w:r>
      <w:r w:rsidR="00E74E1C" w:rsidRPr="00743CEC">
        <w:rPr>
          <w:rFonts w:eastAsia="Times New Roman" w:cs="Times New Roman"/>
          <w:sz w:val="22"/>
          <w:szCs w:val="22"/>
          <w:lang w:bidi="fr-FR"/>
        </w:rPr>
        <w:t xml:space="preserve"> </w:t>
      </w:r>
      <w:r w:rsidRPr="00743CEC">
        <w:rPr>
          <w:rFonts w:eastAsia="Times New Roman" w:cs="Times New Roman"/>
          <w:sz w:val="22"/>
          <w:szCs w:val="22"/>
          <w:lang w:bidi="fr-FR"/>
        </w:rPr>
        <w:t>est chargé d’harmoniser les contributions de ses collègues et des autres parties prenantes afin d’aider à remplir l</w:t>
      </w:r>
      <w:r w:rsidR="00E74E1C">
        <w:rPr>
          <w:rFonts w:eastAsia="Times New Roman" w:cs="Times New Roman"/>
          <w:sz w:val="22"/>
          <w:szCs w:val="22"/>
          <w:lang w:bidi="fr-FR"/>
        </w:rPr>
        <w:t>e</w:t>
      </w:r>
      <w:r w:rsidR="00E74E1C" w:rsidRPr="00E74E1C">
        <w:rPr>
          <w:sz w:val="22"/>
          <w:szCs w:val="22"/>
          <w:lang w:bidi="fr-FR"/>
        </w:rPr>
        <w:t xml:space="preserve"> </w:t>
      </w:r>
      <w:r w:rsidR="00E74E1C">
        <w:rPr>
          <w:sz w:val="22"/>
          <w:szCs w:val="22"/>
          <w:lang w:bidi="fr-FR"/>
        </w:rPr>
        <w:t xml:space="preserve">questionnaire </w:t>
      </w:r>
      <w:r w:rsidRPr="00743CEC">
        <w:rPr>
          <w:rFonts w:eastAsia="Times New Roman" w:cs="Times New Roman"/>
          <w:sz w:val="22"/>
          <w:szCs w:val="22"/>
          <w:lang w:bidi="fr-FR"/>
        </w:rPr>
        <w:t>d’enquête. Cela permet</w:t>
      </w:r>
      <w:r w:rsidR="006546FC" w:rsidRPr="00743CEC">
        <w:rPr>
          <w:sz w:val="22"/>
          <w:szCs w:val="22"/>
          <w:lang w:bidi="fr-FR"/>
        </w:rPr>
        <w:t xml:space="preserve"> d’accroître la participation des parties prenantes aux processus de prise de décisions et de gestion de l’eau, ainsi que leur appropriation de ces derniers, et contribue également à faire d</w:t>
      </w:r>
      <w:r w:rsidR="00E74E1C">
        <w:rPr>
          <w:sz w:val="22"/>
          <w:szCs w:val="22"/>
          <w:lang w:bidi="fr-FR"/>
        </w:rPr>
        <w:t>u</w:t>
      </w:r>
      <w:r w:rsidR="00E74E1C" w:rsidRPr="00E74E1C">
        <w:rPr>
          <w:sz w:val="22"/>
          <w:szCs w:val="22"/>
          <w:lang w:bidi="fr-FR"/>
        </w:rPr>
        <w:t xml:space="preserve"> </w:t>
      </w:r>
      <w:r w:rsidR="00E74E1C">
        <w:rPr>
          <w:sz w:val="22"/>
          <w:szCs w:val="22"/>
          <w:lang w:bidi="fr-FR"/>
        </w:rPr>
        <w:t>questionnaire</w:t>
      </w:r>
      <w:r w:rsidR="00E74E1C" w:rsidRPr="00743CEC">
        <w:rPr>
          <w:sz w:val="22"/>
          <w:szCs w:val="22"/>
          <w:lang w:bidi="fr-FR"/>
        </w:rPr>
        <w:t xml:space="preserve"> </w:t>
      </w:r>
      <w:r w:rsidR="006546FC" w:rsidRPr="00743CEC">
        <w:rPr>
          <w:sz w:val="22"/>
          <w:szCs w:val="22"/>
          <w:lang w:bidi="fr-FR"/>
        </w:rPr>
        <w:t xml:space="preserve">d’enquête rempli un outil de diagnostic plus fiable et utile pour les discussions et la planification à venir. </w:t>
      </w:r>
    </w:p>
    <w:p w14:paraId="15D89852" w14:textId="7642E42D" w:rsidR="005F583B" w:rsidRPr="00743CEC" w:rsidRDefault="00B03638" w:rsidP="006D537B">
      <w:pPr>
        <w:spacing w:after="0"/>
        <w:jc w:val="both"/>
        <w:rPr>
          <w:rFonts w:eastAsia="Times New Roman" w:cs="Times New Roman"/>
          <w:sz w:val="22"/>
          <w:szCs w:val="22"/>
        </w:rPr>
      </w:pPr>
      <w:r w:rsidRPr="00743CEC">
        <w:rPr>
          <w:rFonts w:eastAsia="Times New Roman" w:cs="Times New Roman"/>
          <w:sz w:val="22"/>
          <w:szCs w:val="22"/>
          <w:lang w:bidi="fr-FR"/>
        </w:rPr>
        <w:t xml:space="preserve">Bien qu’il incombe au </w:t>
      </w:r>
      <w:r w:rsidR="00E74E1C">
        <w:rPr>
          <w:rFonts w:eastAsia="Times New Roman" w:cs="Times New Roman"/>
          <w:sz w:val="22"/>
          <w:szCs w:val="22"/>
          <w:lang w:bidi="fr-FR"/>
        </w:rPr>
        <w:t>point focal</w:t>
      </w:r>
      <w:r w:rsidR="00E74E1C" w:rsidRPr="00743CEC">
        <w:rPr>
          <w:rFonts w:eastAsia="Times New Roman" w:cs="Times New Roman"/>
          <w:sz w:val="22"/>
          <w:szCs w:val="22"/>
          <w:lang w:bidi="fr-FR"/>
        </w:rPr>
        <w:t xml:space="preserve"> </w:t>
      </w:r>
      <w:r w:rsidRPr="00743CEC">
        <w:rPr>
          <w:rFonts w:eastAsia="Times New Roman" w:cs="Times New Roman"/>
          <w:sz w:val="22"/>
          <w:szCs w:val="22"/>
          <w:lang w:bidi="fr-FR"/>
        </w:rPr>
        <w:t xml:space="preserve">de décider des modalités d’implication des parties prenantes et de l’étendue de celle-ci, il est recommandé, au vu des ressources disponibles et des contraintes de temps, de prendre en considération les éléments suivants. </w:t>
      </w:r>
    </w:p>
    <w:p w14:paraId="16215CB4" w14:textId="77777777" w:rsidR="005F583B" w:rsidRPr="00743CEC" w:rsidRDefault="005F583B" w:rsidP="006D537B">
      <w:pPr>
        <w:pStyle w:val="ListParagraph"/>
        <w:numPr>
          <w:ilvl w:val="0"/>
          <w:numId w:val="11"/>
        </w:numPr>
        <w:spacing w:after="0"/>
        <w:rPr>
          <w:rFonts w:eastAsia="Times New Roman" w:cs="Times New Roman"/>
          <w:b/>
          <w:sz w:val="22"/>
          <w:szCs w:val="22"/>
        </w:rPr>
      </w:pPr>
      <w:r w:rsidRPr="00743CEC">
        <w:rPr>
          <w:rFonts w:eastAsia="Times New Roman" w:cs="Times New Roman"/>
          <w:b/>
          <w:sz w:val="22"/>
          <w:szCs w:val="22"/>
          <w:lang w:bidi="fr-FR"/>
        </w:rPr>
        <w:t xml:space="preserve">Groupes de parties prenantes : </w:t>
      </w:r>
    </w:p>
    <w:p w14:paraId="23110012" w14:textId="222FEBAB" w:rsidR="005F583B" w:rsidRPr="00743CEC" w:rsidRDefault="005F583B" w:rsidP="006D537B">
      <w:pPr>
        <w:pStyle w:val="ListParagraph"/>
        <w:numPr>
          <w:ilvl w:val="1"/>
          <w:numId w:val="11"/>
        </w:numPr>
        <w:spacing w:after="0"/>
        <w:ind w:left="1276"/>
        <w:rPr>
          <w:rFonts w:eastAsia="Times New Roman" w:cs="Times New Roman"/>
          <w:sz w:val="22"/>
          <w:szCs w:val="22"/>
        </w:rPr>
      </w:pPr>
      <w:r w:rsidRPr="00743CEC">
        <w:rPr>
          <w:rFonts w:eastAsia="Times New Roman" w:cs="Times New Roman"/>
          <w:sz w:val="22"/>
          <w:szCs w:val="22"/>
          <w:lang w:bidi="fr-FR"/>
        </w:rPr>
        <w:t xml:space="preserve">Gouvernement : représentants des principaux ministères chargés des ressources en eau et représentants d’autres ministères impliqués dans la gestion des ressources en eau (p. ex., agriculture, énergie, ressources naturelles, environnement, finance, urbanisme et tourisme). </w:t>
      </w:r>
    </w:p>
    <w:p w14:paraId="02C3BCBC" w14:textId="6565CB44" w:rsidR="005F583B" w:rsidRPr="00743CEC" w:rsidRDefault="00867BF1" w:rsidP="006D537B">
      <w:pPr>
        <w:pStyle w:val="ListParagraph"/>
        <w:numPr>
          <w:ilvl w:val="1"/>
          <w:numId w:val="11"/>
        </w:numPr>
        <w:spacing w:after="0"/>
        <w:ind w:left="1276"/>
        <w:rPr>
          <w:rFonts w:eastAsia="Times New Roman" w:cs="Times New Roman"/>
          <w:sz w:val="22"/>
          <w:szCs w:val="22"/>
        </w:rPr>
      </w:pPr>
      <w:r w:rsidRPr="00743CEC">
        <w:rPr>
          <w:rFonts w:eastAsia="Times New Roman" w:cs="Times New Roman"/>
          <w:sz w:val="22"/>
          <w:szCs w:val="22"/>
          <w:lang w:bidi="fr-FR"/>
        </w:rPr>
        <w:t xml:space="preserve">Niveau des bassins et des aquifères : organisations chargées de la gestion des ressources en eau au niveau des bassins fluviaux, des bassins lacustres ou des aquifères. </w:t>
      </w:r>
    </w:p>
    <w:p w14:paraId="250425FF" w14:textId="785F5190" w:rsidR="00867BF1" w:rsidRPr="00743CEC" w:rsidRDefault="00867BF1" w:rsidP="006D537B">
      <w:pPr>
        <w:pStyle w:val="ListParagraph"/>
        <w:numPr>
          <w:ilvl w:val="1"/>
          <w:numId w:val="11"/>
        </w:numPr>
        <w:spacing w:after="0"/>
        <w:ind w:left="1276"/>
        <w:rPr>
          <w:rFonts w:eastAsia="Times New Roman" w:cs="Times New Roman"/>
          <w:sz w:val="22"/>
          <w:szCs w:val="22"/>
        </w:rPr>
      </w:pPr>
      <w:r w:rsidRPr="00743CEC">
        <w:rPr>
          <w:rFonts w:eastAsia="Times New Roman" w:cs="Times New Roman"/>
          <w:sz w:val="22"/>
          <w:szCs w:val="22"/>
          <w:lang w:bidi="fr-FR"/>
        </w:rPr>
        <w:lastRenderedPageBreak/>
        <w:t xml:space="preserve">Autres parties prenantes : secteur privé, groupes communautaires, associations d’usagers de l’eau, milieu universitaire, organisations non gouvernementales, organisations de protection de l’environnement et professionnels de la gestion des ressources en eau. </w:t>
      </w:r>
    </w:p>
    <w:p w14:paraId="50B14DAC" w14:textId="7F389279" w:rsidR="006728C9" w:rsidRPr="00743CEC" w:rsidRDefault="006728C9" w:rsidP="006D537B">
      <w:pPr>
        <w:pStyle w:val="ListParagraph"/>
        <w:numPr>
          <w:ilvl w:val="1"/>
          <w:numId w:val="11"/>
        </w:numPr>
        <w:spacing w:after="0"/>
        <w:ind w:left="1276"/>
        <w:rPr>
          <w:rFonts w:eastAsia="Times New Roman" w:cs="Times New Roman"/>
          <w:sz w:val="22"/>
          <w:szCs w:val="22"/>
        </w:rPr>
      </w:pPr>
      <w:r w:rsidRPr="00743CEC">
        <w:rPr>
          <w:rFonts w:eastAsia="Times New Roman" w:cs="Times New Roman"/>
          <w:sz w:val="22"/>
          <w:szCs w:val="22"/>
          <w:lang w:bidi="fr-FR"/>
        </w:rPr>
        <w:t>Pour certaines questions d</w:t>
      </w:r>
      <w:r w:rsidR="00E74E1C">
        <w:rPr>
          <w:rFonts w:eastAsia="Times New Roman" w:cs="Times New Roman"/>
          <w:sz w:val="22"/>
          <w:szCs w:val="22"/>
          <w:lang w:bidi="fr-FR"/>
        </w:rPr>
        <w:t>u</w:t>
      </w:r>
      <w:r w:rsidR="00E74E1C" w:rsidRPr="00E74E1C">
        <w:rPr>
          <w:sz w:val="22"/>
          <w:szCs w:val="22"/>
          <w:lang w:bidi="fr-FR"/>
        </w:rPr>
        <w:t xml:space="preserve"> </w:t>
      </w:r>
      <w:r w:rsidR="00E74E1C">
        <w:rPr>
          <w:sz w:val="22"/>
          <w:szCs w:val="22"/>
          <w:lang w:bidi="fr-FR"/>
        </w:rPr>
        <w:t>questionnaire</w:t>
      </w:r>
      <w:r w:rsidR="00E74E1C" w:rsidRPr="00743CEC">
        <w:rPr>
          <w:rFonts w:eastAsia="Times New Roman" w:cs="Times New Roman"/>
          <w:sz w:val="22"/>
          <w:szCs w:val="22"/>
          <w:lang w:bidi="fr-FR"/>
        </w:rPr>
        <w:t xml:space="preserve"> </w:t>
      </w:r>
      <w:r w:rsidRPr="00743CEC">
        <w:rPr>
          <w:rFonts w:eastAsia="Times New Roman" w:cs="Times New Roman"/>
          <w:sz w:val="22"/>
          <w:szCs w:val="22"/>
          <w:lang w:bidi="fr-FR"/>
        </w:rPr>
        <w:t xml:space="preserve">d’enquête, une expertise ou une représentation est recommandée dans les domaines suivants : secteur privé (question 2.1d) ; groupes vulnérables (question 2.2c) ; questions relatives au genre (question 2.2d) ; questions transfrontières relatives à l’eau (questions 1.2c, 2.2e, 3.2d, 4.2c). </w:t>
      </w:r>
    </w:p>
    <w:p w14:paraId="36DCBEA2" w14:textId="2070FC3D" w:rsidR="00867BF1" w:rsidRPr="00743CEC" w:rsidRDefault="009D488F" w:rsidP="006D537B">
      <w:pPr>
        <w:pStyle w:val="ListParagraph"/>
        <w:numPr>
          <w:ilvl w:val="0"/>
          <w:numId w:val="11"/>
        </w:numPr>
        <w:spacing w:after="0"/>
        <w:rPr>
          <w:rFonts w:eastAsia="Times New Roman" w:cs="Times New Roman"/>
          <w:sz w:val="22"/>
          <w:szCs w:val="22"/>
        </w:rPr>
      </w:pPr>
      <w:r w:rsidRPr="00743CEC">
        <w:rPr>
          <w:rFonts w:eastAsia="Times New Roman" w:cs="Times New Roman"/>
          <w:b/>
          <w:sz w:val="22"/>
          <w:szCs w:val="22"/>
          <w:lang w:bidi="fr-FR"/>
        </w:rPr>
        <w:t>Processus d’implication :</w:t>
      </w:r>
      <w:r w:rsidRPr="00743CEC">
        <w:rPr>
          <w:rFonts w:eastAsia="Times New Roman" w:cs="Times New Roman"/>
          <w:sz w:val="22"/>
          <w:szCs w:val="22"/>
          <w:lang w:bidi="fr-FR"/>
        </w:rPr>
        <w:t xml:space="preserve"> des ateliers supervisés, complétés par des courriels, des appels et des réunions, permettront d’obtenir les résultats les plus fiables. Chaque pays devra décider du nombre adéquat d’ateliers, du lieu où ils se dérouleront, ainsi que du niveau de représentation des parties prenantes. Une trentaine de comptes rendus relatifs aux ateliers nationaux pour la période de suivi de référence sont disponibles sur demande pour vous fournir de l’inspiration. Des modèles optionnels de comptes rendus d’ateliers sont également disponibles sur demande auprès du service d’assistance relatif à l’indicateur 6.5.1. </w:t>
      </w:r>
    </w:p>
    <w:p w14:paraId="4E951BA2" w14:textId="777744BF" w:rsidR="006E5E63" w:rsidRPr="00743CEC" w:rsidRDefault="00D533AC" w:rsidP="006D537B">
      <w:pPr>
        <w:pStyle w:val="ListParagraph"/>
        <w:numPr>
          <w:ilvl w:val="0"/>
          <w:numId w:val="11"/>
        </w:numPr>
        <w:spacing w:after="0"/>
        <w:rPr>
          <w:rFonts w:eastAsia="Times New Roman" w:cs="Times New Roman"/>
          <w:sz w:val="22"/>
          <w:szCs w:val="22"/>
        </w:rPr>
      </w:pPr>
      <w:r w:rsidRPr="00743CEC">
        <w:rPr>
          <w:rFonts w:eastAsia="Times New Roman" w:cs="Times New Roman"/>
          <w:b/>
          <w:sz w:val="22"/>
          <w:szCs w:val="22"/>
          <w:lang w:bidi="fr-FR"/>
        </w:rPr>
        <w:t xml:space="preserve">Élaboration des réponses : </w:t>
      </w:r>
      <w:r w:rsidRPr="00743CEC">
        <w:rPr>
          <w:rFonts w:eastAsia="Times New Roman" w:cs="Times New Roman"/>
          <w:sz w:val="22"/>
          <w:szCs w:val="22"/>
          <w:lang w:bidi="fr-FR"/>
        </w:rPr>
        <w:t xml:space="preserve">en fonction du processus d’implication choisi, les réponses peuvent être élaborées « en série », « en parallèle » ou en combinant ces deux approches (voir encadré 1). En suivant une approche « en série », des ébauches d’enquête peuvent être élaborées successivement avec différents groupes de parties prenantes. Par exemple, une première ébauche peut être élaborée par quelques institutions gouvernementales clés, une deuxième par un plus grand nombre d’institutions gouvernementales, et une troisième par d’autres parties prenantes. En suivant une approche « en parallèle », plusieurs groupes de parties prenantes remplissent des formulaires d’enquête vierges. Leurs réponses sont ensuite rassemblées pour créer une seule réponse finale. La coordination des réponses peut s’effectuer au cours d’un ou plusieurs ateliers, lors desquels un accord pourra être dégagé à la suite des échanges. Indépendamment du processus choisi, une seule version unifiée de l’enquête, acceptée de tous, doit être présentée. </w:t>
      </w:r>
    </w:p>
    <w:p w14:paraId="15F876C4" w14:textId="38581D2D" w:rsidR="004132FF" w:rsidRPr="00451405" w:rsidRDefault="004132FF" w:rsidP="006D537B">
      <w:pPr>
        <w:pStyle w:val="ListParagraph"/>
        <w:numPr>
          <w:ilvl w:val="0"/>
          <w:numId w:val="11"/>
        </w:numPr>
        <w:ind w:left="714" w:hanging="357"/>
        <w:rPr>
          <w:sz w:val="22"/>
          <w:szCs w:val="22"/>
        </w:rPr>
      </w:pPr>
      <w:r w:rsidRPr="00743CEC">
        <w:rPr>
          <w:rFonts w:eastAsia="Times New Roman" w:cs="Times New Roman"/>
          <w:b/>
          <w:sz w:val="22"/>
          <w:szCs w:val="22"/>
          <w:lang w:bidi="fr-FR"/>
        </w:rPr>
        <w:t xml:space="preserve">Coordination avec d’autres </w:t>
      </w:r>
      <w:r w:rsidR="00E74E1C" w:rsidRPr="00E74E1C">
        <w:rPr>
          <w:rFonts w:eastAsia="Times New Roman" w:cs="Times New Roman"/>
          <w:b/>
          <w:sz w:val="22"/>
          <w:szCs w:val="22"/>
          <w:lang w:bidi="fr-FR"/>
        </w:rPr>
        <w:t>points focaux</w:t>
      </w:r>
      <w:r w:rsidR="00E74E1C" w:rsidRPr="00E74E1C" w:rsidDel="00E74E1C">
        <w:rPr>
          <w:rFonts w:eastAsia="Times New Roman" w:cs="Times New Roman"/>
          <w:b/>
          <w:sz w:val="22"/>
          <w:szCs w:val="22"/>
          <w:lang w:bidi="fr-FR"/>
        </w:rPr>
        <w:t xml:space="preserve"> </w:t>
      </w:r>
      <w:r w:rsidRPr="00743CEC">
        <w:rPr>
          <w:rFonts w:eastAsia="Times New Roman" w:cs="Times New Roman"/>
          <w:b/>
          <w:sz w:val="22"/>
          <w:szCs w:val="22"/>
          <w:lang w:bidi="fr-FR"/>
        </w:rPr>
        <w:t xml:space="preserve">nationaux chargés d’un indicateur des ODD : </w:t>
      </w:r>
      <w:r w:rsidRPr="00743CEC">
        <w:rPr>
          <w:rFonts w:eastAsia="Times New Roman" w:cs="Times New Roman"/>
          <w:sz w:val="22"/>
          <w:szCs w:val="22"/>
          <w:lang w:bidi="fr-FR"/>
        </w:rPr>
        <w:t>lorsque cela est possible, il convient d’harmoniser les réponses des pays et de demander un retour d’information de la part des autres parties prenantes. Les questions présentées ci-après sont étroitement liées aux autres cibles et indicateurs des ODD.</w:t>
      </w:r>
    </w:p>
    <w:tbl>
      <w:tblPr>
        <w:tblStyle w:val="TableGrid"/>
        <w:tblW w:w="0" w:type="auto"/>
        <w:tblLook w:val="04A0" w:firstRow="1" w:lastRow="0" w:firstColumn="1" w:lastColumn="0" w:noHBand="0" w:noVBand="1"/>
      </w:tblPr>
      <w:tblGrid>
        <w:gridCol w:w="2725"/>
        <w:gridCol w:w="7489"/>
      </w:tblGrid>
      <w:tr w:rsidR="0058462A" w14:paraId="44A2801D" w14:textId="77777777" w:rsidTr="00EF0B3B">
        <w:tc>
          <w:tcPr>
            <w:tcW w:w="0" w:type="auto"/>
            <w:vAlign w:val="center"/>
          </w:tcPr>
          <w:p w14:paraId="3C7F0461" w14:textId="67D60DF8" w:rsidR="00404DA4" w:rsidRPr="00EC43B6" w:rsidRDefault="00EC43B6" w:rsidP="00EF0B3B">
            <w:pPr>
              <w:spacing w:after="0"/>
              <w:rPr>
                <w:b/>
                <w:sz w:val="22"/>
                <w:szCs w:val="22"/>
              </w:rPr>
            </w:pPr>
            <w:r w:rsidRPr="00EC43B6">
              <w:rPr>
                <w:b/>
                <w:sz w:val="22"/>
                <w:szCs w:val="22"/>
                <w:lang w:bidi="fr-FR"/>
              </w:rPr>
              <w:t>Question de l’enquête</w:t>
            </w:r>
          </w:p>
        </w:tc>
        <w:tc>
          <w:tcPr>
            <w:tcW w:w="0" w:type="auto"/>
            <w:vAlign w:val="center"/>
          </w:tcPr>
          <w:p w14:paraId="6FD7CB63" w14:textId="6C99455A" w:rsidR="00404DA4" w:rsidRPr="00EC43B6" w:rsidRDefault="00EC43B6" w:rsidP="00EF0B3B">
            <w:pPr>
              <w:spacing w:after="0"/>
              <w:rPr>
                <w:b/>
                <w:sz w:val="22"/>
                <w:szCs w:val="22"/>
              </w:rPr>
            </w:pPr>
            <w:r w:rsidRPr="00EC43B6">
              <w:rPr>
                <w:b/>
                <w:sz w:val="22"/>
                <w:szCs w:val="22"/>
                <w:lang w:bidi="fr-FR"/>
              </w:rPr>
              <w:t>Cible des ODD connexe</w:t>
            </w:r>
          </w:p>
        </w:tc>
      </w:tr>
      <w:tr w:rsidR="0058462A" w14:paraId="661D883E" w14:textId="77777777" w:rsidTr="00EF0B3B">
        <w:tc>
          <w:tcPr>
            <w:tcW w:w="0" w:type="auto"/>
            <w:vAlign w:val="center"/>
          </w:tcPr>
          <w:p w14:paraId="2919A8C9" w14:textId="5727BB34" w:rsidR="00404DA4" w:rsidRDefault="00EC43B6" w:rsidP="00EF0B3B">
            <w:pPr>
              <w:spacing w:after="0"/>
              <w:rPr>
                <w:sz w:val="22"/>
                <w:szCs w:val="22"/>
              </w:rPr>
            </w:pPr>
            <w:r>
              <w:rPr>
                <w:sz w:val="22"/>
                <w:szCs w:val="22"/>
                <w:lang w:bidi="fr-FR"/>
              </w:rPr>
              <w:t>2.2b Participation des citoyens au niveau local</w:t>
            </w:r>
          </w:p>
        </w:tc>
        <w:tc>
          <w:tcPr>
            <w:tcW w:w="0" w:type="auto"/>
            <w:vAlign w:val="center"/>
          </w:tcPr>
          <w:p w14:paraId="586CEF19" w14:textId="14E08E0F" w:rsidR="00404DA4" w:rsidRDefault="007576B4" w:rsidP="00EF0B3B">
            <w:pPr>
              <w:spacing w:after="0"/>
              <w:rPr>
                <w:sz w:val="22"/>
                <w:szCs w:val="22"/>
              </w:rPr>
            </w:pPr>
            <w:hyperlink r:id="rId13" w:history="1">
              <w:r w:rsidR="00EC43B6" w:rsidRPr="00743CEC">
                <w:rPr>
                  <w:rStyle w:val="Hyperlink"/>
                  <w:rFonts w:cs="Calibri"/>
                  <w:sz w:val="22"/>
                  <w:szCs w:val="22"/>
                  <w:lang w:bidi="fr-FR"/>
                </w:rPr>
                <w:t>6.b</w:t>
              </w:r>
            </w:hyperlink>
            <w:r w:rsidR="00EC43B6" w:rsidRPr="00743CEC">
              <w:rPr>
                <w:rFonts w:cs="Calibri"/>
                <w:sz w:val="22"/>
                <w:szCs w:val="22"/>
                <w:lang w:bidi="fr-FR"/>
              </w:rPr>
              <w:t> : Appuyer et renforcer la participation de la population locale à l’amélioration de la gestion de l’eau et de l’assainissement.</w:t>
            </w:r>
          </w:p>
        </w:tc>
      </w:tr>
      <w:tr w:rsidR="0058462A" w14:paraId="334323DB" w14:textId="77777777" w:rsidTr="00EF0B3B">
        <w:tc>
          <w:tcPr>
            <w:tcW w:w="0" w:type="auto"/>
            <w:vAlign w:val="center"/>
          </w:tcPr>
          <w:p w14:paraId="16009D86" w14:textId="47ED693A" w:rsidR="00404DA4" w:rsidRDefault="00EC43B6" w:rsidP="00EF0B3B">
            <w:pPr>
              <w:spacing w:after="0"/>
              <w:rPr>
                <w:sz w:val="22"/>
                <w:szCs w:val="22"/>
              </w:rPr>
            </w:pPr>
            <w:r>
              <w:rPr>
                <w:sz w:val="22"/>
                <w:szCs w:val="22"/>
                <w:lang w:bidi="fr-FR"/>
              </w:rPr>
              <w:t>2.2d Prise en compte du genre dans les lois, les plans ou équivalents</w:t>
            </w:r>
          </w:p>
        </w:tc>
        <w:tc>
          <w:tcPr>
            <w:tcW w:w="0" w:type="auto"/>
            <w:vAlign w:val="center"/>
          </w:tcPr>
          <w:p w14:paraId="30A7DFD8" w14:textId="0B197D14" w:rsidR="00404DA4" w:rsidRDefault="0058462A" w:rsidP="00EF0B3B">
            <w:pPr>
              <w:spacing w:after="0"/>
              <w:rPr>
                <w:sz w:val="22"/>
                <w:szCs w:val="22"/>
              </w:rPr>
            </w:pPr>
            <w:r>
              <w:rPr>
                <w:sz w:val="22"/>
                <w:szCs w:val="22"/>
                <w:lang w:bidi="fr-FR"/>
              </w:rPr>
              <w:t>Question A14.a de l’enquête GLAAS 2018/2019.</w:t>
            </w:r>
          </w:p>
        </w:tc>
      </w:tr>
      <w:tr w:rsidR="00EC43B6" w14:paraId="6AA20CAD" w14:textId="77777777" w:rsidTr="00EF0B3B">
        <w:tc>
          <w:tcPr>
            <w:tcW w:w="0" w:type="auto"/>
            <w:vAlign w:val="center"/>
          </w:tcPr>
          <w:p w14:paraId="31C35FDA" w14:textId="35856F57" w:rsidR="00EC43B6" w:rsidRDefault="00EC43B6" w:rsidP="00EF0B3B">
            <w:pPr>
              <w:spacing w:after="0"/>
              <w:rPr>
                <w:sz w:val="22"/>
                <w:szCs w:val="22"/>
              </w:rPr>
            </w:pPr>
            <w:r>
              <w:rPr>
                <w:sz w:val="22"/>
                <w:szCs w:val="22"/>
                <w:lang w:bidi="fr-FR"/>
              </w:rPr>
              <w:t>3.1a Suivi national de la disponibilité de l’eau</w:t>
            </w:r>
          </w:p>
        </w:tc>
        <w:tc>
          <w:tcPr>
            <w:tcW w:w="0" w:type="auto"/>
            <w:vMerge w:val="restart"/>
            <w:vAlign w:val="center"/>
          </w:tcPr>
          <w:p w14:paraId="2F40F920" w14:textId="560C2556" w:rsidR="00EC43B6" w:rsidRDefault="007576B4" w:rsidP="00EF0B3B">
            <w:pPr>
              <w:spacing w:after="0"/>
              <w:rPr>
                <w:sz w:val="22"/>
                <w:szCs w:val="22"/>
              </w:rPr>
            </w:pPr>
            <w:hyperlink r:id="rId14" w:history="1">
              <w:r w:rsidR="00EC43B6" w:rsidRPr="00EC43B6">
                <w:rPr>
                  <w:rStyle w:val="Hyperlink"/>
                  <w:sz w:val="22"/>
                  <w:szCs w:val="22"/>
                  <w:lang w:bidi="fr-FR"/>
                </w:rPr>
                <w:t>6.4</w:t>
              </w:r>
            </w:hyperlink>
            <w:r w:rsidR="00EC43B6" w:rsidRPr="00EC43B6">
              <w:rPr>
                <w:sz w:val="22"/>
                <w:szCs w:val="22"/>
                <w:lang w:bidi="fr-FR"/>
              </w:rPr>
              <w:t> : D’ici à 2030, faire en sorte que les ressources en eau soient utilisées beaucoup plus efficacement dans tous les secteurs et garantir la viabilité des prélèvements et de l’approvisionnement en eau douce afin de remédier à la pénurie d’eau et de réduire nettement le nombre de personnes qui manquent d’eau.</w:t>
            </w:r>
          </w:p>
        </w:tc>
      </w:tr>
      <w:tr w:rsidR="00EC43B6" w14:paraId="1540129E" w14:textId="77777777" w:rsidTr="00EF0B3B">
        <w:tc>
          <w:tcPr>
            <w:tcW w:w="0" w:type="auto"/>
            <w:vAlign w:val="center"/>
          </w:tcPr>
          <w:p w14:paraId="65CD30B2" w14:textId="4D5F9A9B" w:rsidR="00EC43B6" w:rsidRDefault="00EC43B6" w:rsidP="00EF0B3B">
            <w:pPr>
              <w:spacing w:after="0"/>
              <w:rPr>
                <w:sz w:val="22"/>
                <w:szCs w:val="22"/>
              </w:rPr>
            </w:pPr>
            <w:r>
              <w:rPr>
                <w:sz w:val="22"/>
                <w:szCs w:val="22"/>
                <w:lang w:bidi="fr-FR"/>
              </w:rPr>
              <w:t>3.1b Gestion durable et efficace de l’utilisation de l’eau</w:t>
            </w:r>
          </w:p>
        </w:tc>
        <w:tc>
          <w:tcPr>
            <w:tcW w:w="0" w:type="auto"/>
            <w:vMerge/>
            <w:vAlign w:val="center"/>
          </w:tcPr>
          <w:p w14:paraId="0BD2136E" w14:textId="124C29AF" w:rsidR="00EC43B6" w:rsidRDefault="00EC43B6" w:rsidP="00EF0B3B">
            <w:pPr>
              <w:spacing w:after="0"/>
              <w:rPr>
                <w:sz w:val="22"/>
                <w:szCs w:val="22"/>
              </w:rPr>
            </w:pPr>
          </w:p>
        </w:tc>
      </w:tr>
      <w:tr w:rsidR="0058462A" w14:paraId="68113172" w14:textId="77777777" w:rsidTr="00EF0B3B">
        <w:tc>
          <w:tcPr>
            <w:tcW w:w="0" w:type="auto"/>
            <w:vAlign w:val="center"/>
          </w:tcPr>
          <w:p w14:paraId="5616FEF4" w14:textId="425ACD80" w:rsidR="00404DA4" w:rsidRDefault="00EC43B6" w:rsidP="00EF0B3B">
            <w:pPr>
              <w:spacing w:after="0"/>
              <w:rPr>
                <w:sz w:val="22"/>
                <w:szCs w:val="22"/>
              </w:rPr>
            </w:pPr>
            <w:r>
              <w:rPr>
                <w:sz w:val="22"/>
                <w:szCs w:val="22"/>
                <w:lang w:bidi="fr-FR"/>
              </w:rPr>
              <w:t>3.1c Contrôle de la pollution</w:t>
            </w:r>
          </w:p>
        </w:tc>
        <w:tc>
          <w:tcPr>
            <w:tcW w:w="0" w:type="auto"/>
            <w:vAlign w:val="center"/>
          </w:tcPr>
          <w:p w14:paraId="4B3FC263" w14:textId="49A255C1" w:rsidR="00404DA4" w:rsidRDefault="007576B4" w:rsidP="00EF0B3B">
            <w:pPr>
              <w:spacing w:after="0"/>
              <w:rPr>
                <w:sz w:val="22"/>
                <w:szCs w:val="22"/>
              </w:rPr>
            </w:pPr>
            <w:hyperlink r:id="rId15" w:history="1">
              <w:r w:rsidR="00EC43B6" w:rsidRPr="00743CEC">
                <w:rPr>
                  <w:rStyle w:val="Hyperlink"/>
                  <w:sz w:val="22"/>
                  <w:szCs w:val="22"/>
                  <w:lang w:bidi="fr-FR"/>
                </w:rPr>
                <w:t>6.3</w:t>
              </w:r>
            </w:hyperlink>
            <w:r w:rsidR="00EC43B6" w:rsidRPr="00743CEC">
              <w:rPr>
                <w:sz w:val="22"/>
                <w:szCs w:val="22"/>
                <w:lang w:bidi="fr-FR"/>
              </w:rPr>
              <w:t xml:space="preserve"> : D’ici à 2030, améliorer la qualité de l’eau en réduisant la pollution, en éliminant l’immersion des déchets et en réduisant au minimum les émissions de produits chimiques et de matières dangereuses, en diminuant de moitié la </w:t>
            </w:r>
            <w:r w:rsidR="00EC43B6" w:rsidRPr="00743CEC">
              <w:rPr>
                <w:sz w:val="22"/>
                <w:szCs w:val="22"/>
                <w:lang w:bidi="fr-FR"/>
              </w:rPr>
              <w:lastRenderedPageBreak/>
              <w:t>proportion d’eaux usées non traitées et en augmentant nettement le recyclage et la réutilisation sans danger de l’eau à l’échelle mondiale.</w:t>
            </w:r>
          </w:p>
        </w:tc>
      </w:tr>
      <w:tr w:rsidR="0058462A" w14:paraId="345DF162" w14:textId="77777777" w:rsidTr="00EF0B3B">
        <w:tc>
          <w:tcPr>
            <w:tcW w:w="0" w:type="auto"/>
            <w:vAlign w:val="center"/>
          </w:tcPr>
          <w:p w14:paraId="76A2C850" w14:textId="3271E792" w:rsidR="00404DA4" w:rsidRDefault="00EC43B6" w:rsidP="00EF0B3B">
            <w:pPr>
              <w:spacing w:after="0"/>
              <w:rPr>
                <w:sz w:val="22"/>
                <w:szCs w:val="22"/>
              </w:rPr>
            </w:pPr>
            <w:r>
              <w:rPr>
                <w:sz w:val="22"/>
                <w:szCs w:val="22"/>
                <w:lang w:bidi="fr-FR"/>
              </w:rPr>
              <w:lastRenderedPageBreak/>
              <w:t>3.1d Gestion des écosystèmes liés à l’eau</w:t>
            </w:r>
          </w:p>
        </w:tc>
        <w:tc>
          <w:tcPr>
            <w:tcW w:w="0" w:type="auto"/>
            <w:vAlign w:val="center"/>
          </w:tcPr>
          <w:p w14:paraId="5DEBA676" w14:textId="1907B603" w:rsidR="00404DA4" w:rsidRDefault="007576B4" w:rsidP="00EF0B3B">
            <w:pPr>
              <w:spacing w:after="0"/>
              <w:rPr>
                <w:sz w:val="22"/>
                <w:szCs w:val="22"/>
              </w:rPr>
            </w:pPr>
            <w:hyperlink r:id="rId16" w:history="1">
              <w:r w:rsidR="00EC43B6" w:rsidRPr="00743CEC">
                <w:rPr>
                  <w:rStyle w:val="Hyperlink"/>
                  <w:sz w:val="22"/>
                  <w:szCs w:val="22"/>
                  <w:lang w:bidi="fr-FR"/>
                </w:rPr>
                <w:t>6.6</w:t>
              </w:r>
            </w:hyperlink>
            <w:r w:rsidR="00EC43B6" w:rsidRPr="00743CEC">
              <w:rPr>
                <w:sz w:val="22"/>
                <w:szCs w:val="22"/>
                <w:lang w:bidi="fr-FR"/>
              </w:rPr>
              <w:t> : D’ici à 2020, protéger et restaurer les écosystèmes liés à l’eau, notamment les montagnes, les forêts, les zones humides, les rivières, les aquifères et les lacs.</w:t>
            </w:r>
          </w:p>
        </w:tc>
      </w:tr>
      <w:tr w:rsidR="0058462A" w14:paraId="350E5D52" w14:textId="77777777" w:rsidTr="00EF0B3B">
        <w:tc>
          <w:tcPr>
            <w:tcW w:w="0" w:type="auto"/>
            <w:vAlign w:val="center"/>
          </w:tcPr>
          <w:p w14:paraId="13020164" w14:textId="6FCB3A6D" w:rsidR="00404DA4" w:rsidRDefault="00EC43B6" w:rsidP="00EF0B3B">
            <w:pPr>
              <w:spacing w:after="0"/>
              <w:rPr>
                <w:sz w:val="22"/>
                <w:szCs w:val="22"/>
              </w:rPr>
            </w:pPr>
            <w:r>
              <w:rPr>
                <w:sz w:val="22"/>
                <w:szCs w:val="22"/>
                <w:lang w:bidi="fr-FR"/>
              </w:rPr>
              <w:t>3.1e Instruments de gestion visant à réduire les répercussions des catastrophes liées à l’eau</w:t>
            </w:r>
          </w:p>
        </w:tc>
        <w:tc>
          <w:tcPr>
            <w:tcW w:w="0" w:type="auto"/>
            <w:vAlign w:val="center"/>
          </w:tcPr>
          <w:p w14:paraId="4EFC0310" w14:textId="270D06C9" w:rsidR="00404DA4" w:rsidRDefault="007576B4" w:rsidP="00EF0B3B">
            <w:pPr>
              <w:spacing w:after="0"/>
              <w:rPr>
                <w:sz w:val="22"/>
                <w:szCs w:val="22"/>
              </w:rPr>
            </w:pPr>
            <w:hyperlink r:id="rId17" w:history="1">
              <w:r w:rsidR="00EC43B6" w:rsidRPr="00D139A2">
                <w:rPr>
                  <w:rStyle w:val="Hyperlink"/>
                  <w:sz w:val="22"/>
                  <w:szCs w:val="22"/>
                  <w:lang w:bidi="fr-FR"/>
                </w:rPr>
                <w:t>11.5</w:t>
              </w:r>
            </w:hyperlink>
            <w:r w:rsidR="00EC43B6" w:rsidRPr="00743CEC">
              <w:rPr>
                <w:sz w:val="22"/>
                <w:szCs w:val="22"/>
                <w:lang w:bidi="fr-FR"/>
              </w:rPr>
              <w:t> : D’ici à 2030, réduire nettement le nombre de personnes tuées et touchées par les catastrophes, y compris celles qui sont liées à l’eau, et réduire nettement la part du produit intérieur brut mondial représentée par les pertes économiques directement imputables à ces catastrophes, l’accent étant mis sur la protection des pauvres et des personnes en situation vulnérable.</w:t>
            </w:r>
          </w:p>
        </w:tc>
      </w:tr>
    </w:tbl>
    <w:p w14:paraId="414E7FCB" w14:textId="2B0D557E" w:rsidR="000D3DBD" w:rsidRPr="00743CEC" w:rsidRDefault="007C1623" w:rsidP="00575135">
      <w:pPr>
        <w:pStyle w:val="ListParagraph"/>
        <w:numPr>
          <w:ilvl w:val="0"/>
          <w:numId w:val="11"/>
        </w:numPr>
        <w:spacing w:before="120" w:after="0"/>
        <w:ind w:left="714" w:hanging="357"/>
        <w:jc w:val="both"/>
        <w:rPr>
          <w:rFonts w:eastAsia="Times New Roman" w:cs="Times New Roman"/>
          <w:sz w:val="22"/>
          <w:szCs w:val="22"/>
        </w:rPr>
      </w:pPr>
      <w:r w:rsidRPr="00743CEC">
        <w:rPr>
          <w:rFonts w:eastAsia="Times New Roman" w:cs="Times New Roman"/>
          <w:b/>
          <w:sz w:val="22"/>
          <w:szCs w:val="22"/>
          <w:lang w:bidi="fr-FR"/>
        </w:rPr>
        <w:t xml:space="preserve">Outils et documents connexes : </w:t>
      </w:r>
    </w:p>
    <w:p w14:paraId="602523AE" w14:textId="27640C82" w:rsidR="000D3DBD" w:rsidRPr="00743CEC" w:rsidRDefault="000D3DBD" w:rsidP="00B95C51">
      <w:pPr>
        <w:pStyle w:val="ListParagraph"/>
        <w:numPr>
          <w:ilvl w:val="1"/>
          <w:numId w:val="11"/>
        </w:numPr>
        <w:spacing w:after="0"/>
        <w:ind w:left="1276"/>
        <w:jc w:val="both"/>
        <w:rPr>
          <w:rFonts w:eastAsia="Times New Roman" w:cs="Times New Roman"/>
          <w:sz w:val="22"/>
          <w:szCs w:val="22"/>
        </w:rPr>
      </w:pPr>
      <w:r w:rsidRPr="00743CEC">
        <w:rPr>
          <w:rFonts w:eastAsia="Times New Roman" w:cs="Times New Roman"/>
          <w:sz w:val="22"/>
          <w:szCs w:val="22"/>
          <w:lang w:bidi="fr-FR"/>
        </w:rPr>
        <w:t>L</w:t>
      </w:r>
      <w:r w:rsidR="00E74E1C">
        <w:rPr>
          <w:rFonts w:eastAsia="Times New Roman" w:cs="Times New Roman"/>
          <w:sz w:val="22"/>
          <w:szCs w:val="22"/>
          <w:lang w:bidi="fr-FR"/>
        </w:rPr>
        <w:t>e</w:t>
      </w:r>
      <w:r w:rsidR="00E74E1C" w:rsidRPr="00E74E1C">
        <w:rPr>
          <w:sz w:val="22"/>
          <w:szCs w:val="22"/>
          <w:lang w:bidi="fr-FR"/>
        </w:rPr>
        <w:t xml:space="preserve"> </w:t>
      </w:r>
      <w:proofErr w:type="spellStart"/>
      <w:r w:rsidR="00E74E1C">
        <w:rPr>
          <w:sz w:val="22"/>
          <w:szCs w:val="22"/>
          <w:lang w:bidi="fr-FR"/>
        </w:rPr>
        <w:t>questionnaire</w:t>
      </w:r>
      <w:r w:rsidRPr="00743CEC">
        <w:rPr>
          <w:rFonts w:eastAsia="Times New Roman" w:cs="Times New Roman"/>
          <w:sz w:val="22"/>
          <w:szCs w:val="22"/>
          <w:lang w:bidi="fr-FR"/>
        </w:rPr>
        <w:t>d’enquête</w:t>
      </w:r>
      <w:proofErr w:type="spellEnd"/>
      <w:r w:rsidRPr="00743CEC">
        <w:rPr>
          <w:rFonts w:eastAsia="Times New Roman" w:cs="Times New Roman"/>
          <w:sz w:val="22"/>
          <w:szCs w:val="22"/>
          <w:lang w:bidi="fr-FR"/>
        </w:rPr>
        <w:t xml:space="preserve"> est disponible au format Microsoft Word, qui est facilement partageable avec les parties prenantes en version électronique ou papier. </w:t>
      </w:r>
    </w:p>
    <w:p w14:paraId="1AF5B274" w14:textId="68D84620" w:rsidR="006E5E63" w:rsidRPr="00743CEC" w:rsidRDefault="00F66A02" w:rsidP="00B95C51">
      <w:pPr>
        <w:pStyle w:val="ListParagraph"/>
        <w:numPr>
          <w:ilvl w:val="1"/>
          <w:numId w:val="11"/>
        </w:numPr>
        <w:spacing w:after="0"/>
        <w:ind w:left="1276"/>
        <w:jc w:val="both"/>
        <w:rPr>
          <w:rFonts w:eastAsia="Times New Roman" w:cs="Times New Roman"/>
          <w:sz w:val="22"/>
          <w:szCs w:val="22"/>
        </w:rPr>
      </w:pPr>
      <w:r w:rsidRPr="00743CEC">
        <w:rPr>
          <w:rFonts w:eastAsia="Times New Roman" w:cs="Times New Roman"/>
          <w:sz w:val="22"/>
          <w:szCs w:val="22"/>
          <w:lang w:bidi="fr-FR"/>
        </w:rPr>
        <w:t xml:space="preserve">Une fiche récapitulative contenant les résultats de référence est également disponible pour les pays ayant rempli le questionnaire d’enquête de référence. Cette fiche peut servir de point de départ à des discussions ainsi qu’à éveiller l’intérêt des parties prenantes à l’égard de ce processus. </w:t>
      </w:r>
    </w:p>
    <w:p w14:paraId="3E07DC2A" w14:textId="4440A3CE" w:rsidR="00DF586A" w:rsidRPr="00743CEC" w:rsidRDefault="002609E8" w:rsidP="00FD1938">
      <w:pPr>
        <w:pStyle w:val="ListParagraph"/>
        <w:numPr>
          <w:ilvl w:val="0"/>
          <w:numId w:val="11"/>
        </w:numPr>
        <w:spacing w:after="0"/>
        <w:jc w:val="both"/>
        <w:rPr>
          <w:sz w:val="22"/>
          <w:szCs w:val="22"/>
        </w:rPr>
      </w:pPr>
      <w:r w:rsidRPr="00743CEC">
        <w:rPr>
          <w:rFonts w:eastAsia="Times New Roman" w:cs="Times New Roman"/>
          <w:b/>
          <w:sz w:val="22"/>
          <w:szCs w:val="22"/>
          <w:lang w:bidi="fr-FR"/>
        </w:rPr>
        <w:t xml:space="preserve">Langues : </w:t>
      </w:r>
      <w:r w:rsidRPr="00743CEC">
        <w:rPr>
          <w:rFonts w:eastAsia="Times New Roman" w:cs="Times New Roman"/>
          <w:sz w:val="22"/>
          <w:szCs w:val="22"/>
          <w:lang w:bidi="fr-FR"/>
        </w:rPr>
        <w:t xml:space="preserve">le présent guide de suivi et </w:t>
      </w:r>
      <w:bookmarkStart w:id="0" w:name="_Hlk19614030"/>
      <w:r w:rsidR="00E74E1C">
        <w:rPr>
          <w:rFonts w:eastAsia="Times New Roman" w:cs="Times New Roman"/>
          <w:sz w:val="22"/>
          <w:szCs w:val="22"/>
          <w:lang w:bidi="fr-FR"/>
        </w:rPr>
        <w:t>le</w:t>
      </w:r>
      <w:r w:rsidR="00E74E1C" w:rsidRPr="00E74E1C">
        <w:rPr>
          <w:sz w:val="22"/>
          <w:szCs w:val="22"/>
          <w:lang w:bidi="fr-FR"/>
        </w:rPr>
        <w:t xml:space="preserve"> </w:t>
      </w:r>
      <w:r w:rsidR="00E74E1C">
        <w:rPr>
          <w:sz w:val="22"/>
          <w:szCs w:val="22"/>
          <w:lang w:bidi="fr-FR"/>
        </w:rPr>
        <w:t>questionnaire</w:t>
      </w:r>
      <w:r w:rsidR="00E74E1C" w:rsidRPr="00743CEC">
        <w:rPr>
          <w:rFonts w:eastAsia="Times New Roman" w:cs="Times New Roman"/>
          <w:sz w:val="22"/>
          <w:szCs w:val="22"/>
          <w:lang w:bidi="fr-FR"/>
        </w:rPr>
        <w:t xml:space="preserve"> </w:t>
      </w:r>
      <w:r w:rsidRPr="00743CEC">
        <w:rPr>
          <w:rFonts w:eastAsia="Times New Roman" w:cs="Times New Roman"/>
          <w:sz w:val="22"/>
          <w:szCs w:val="22"/>
          <w:lang w:bidi="fr-FR"/>
        </w:rPr>
        <w:t>d’enquête sont disponibles auprès du Programme des Nations Unies pour l’environnement (PNUE) dans les six langues de l’Organisation des Nations Unies (ONU) : anglais, arabe, chinois, espagnol, français et russe. Il est également disponible en portugais.</w:t>
      </w:r>
      <w:bookmarkEnd w:id="0"/>
    </w:p>
    <w:p w14:paraId="480C9972" w14:textId="605D6F99" w:rsidR="00590700" w:rsidRPr="00743CEC" w:rsidRDefault="000B5851" w:rsidP="00BB44C5">
      <w:pPr>
        <w:ind w:left="284"/>
        <w:rPr>
          <w:rFonts w:eastAsia="Times New Roman" w:cs="Times New Roman"/>
          <w:sz w:val="22"/>
          <w:szCs w:val="22"/>
        </w:rPr>
      </w:pPr>
      <w:r w:rsidRPr="00743CEC">
        <w:rPr>
          <w:noProof/>
          <w:sz w:val="22"/>
          <w:szCs w:val="22"/>
          <w:lang w:bidi="fr-FR"/>
        </w:rPr>
        <mc:AlternateContent>
          <mc:Choice Requires="wps">
            <w:drawing>
              <wp:inline distT="0" distB="0" distL="0" distR="0" wp14:anchorId="2EFC67C7" wp14:editId="4C22D4CB">
                <wp:extent cx="6312535" cy="2493818"/>
                <wp:effectExtent l="0" t="0" r="12065" b="20955"/>
                <wp:docPr id="2" name="Text Box 2"/>
                <wp:cNvGraphicFramePr/>
                <a:graphic xmlns:a="http://schemas.openxmlformats.org/drawingml/2006/main">
                  <a:graphicData uri="http://schemas.microsoft.com/office/word/2010/wordprocessingShape">
                    <wps:wsp>
                      <wps:cNvSpPr txBox="1"/>
                      <wps:spPr>
                        <a:xfrm>
                          <a:off x="0" y="0"/>
                          <a:ext cx="6312535" cy="2493818"/>
                        </a:xfrm>
                        <a:prstGeom prst="rect">
                          <a:avLst/>
                        </a:prstGeom>
                        <a:noFill/>
                        <a:ln>
                          <a:solidFill>
                            <a:schemeClr val="tx1"/>
                          </a:solid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113A8D1C" w14:textId="7A280B02" w:rsidR="002F2C0A" w:rsidRPr="009C0B21" w:rsidRDefault="002F2C0A" w:rsidP="000B5851">
                            <w:pPr>
                              <w:rPr>
                                <w:b/>
                              </w:rPr>
                            </w:pPr>
                            <w:r w:rsidRPr="00FD1938">
                              <w:rPr>
                                <w:b/>
                                <w:lang w:bidi="fr-FR"/>
                              </w:rPr>
                              <w:t>Encadré 1 : Pour inspiration, processus national de l’Ouganda lors de la mise à l’essai de l’instrument</w:t>
                            </w:r>
                          </w:p>
                          <w:p w14:paraId="5153FD26" w14:textId="77777777" w:rsidR="002F2C0A" w:rsidRPr="009C0B21" w:rsidRDefault="002F2C0A" w:rsidP="000B5851">
                            <w:pPr>
                              <w:rPr>
                                <w:bCs/>
                              </w:rPr>
                            </w:pPr>
                            <w:r w:rsidRPr="00FD1938">
                              <w:rPr>
                                <w:lang w:bidi="fr-FR"/>
                              </w:rPr>
                              <w:t xml:space="preserve">Le processus national a été coordonné par la Direction de la gestion des ressources en eau du ministère de l’Eau et de l’Environnement. </w:t>
                            </w:r>
                          </w:p>
                          <w:p w14:paraId="4CAF3480" w14:textId="6D3B41D0" w:rsidR="002F2C0A" w:rsidRPr="009C0B21" w:rsidRDefault="002F2C0A" w:rsidP="000B5851">
                            <w:pPr>
                              <w:rPr>
                                <w:bCs/>
                              </w:rPr>
                            </w:pPr>
                            <w:r w:rsidRPr="00FD1938">
                              <w:rPr>
                                <w:lang w:bidi="fr-FR"/>
                              </w:rPr>
                              <w:t xml:space="preserve">Étape 1 : une équipe spéciale, composée de représentants d’un ensemble de secteurs et de parties prenantes, a été créée. </w:t>
                            </w:r>
                          </w:p>
                          <w:p w14:paraId="1C7D4E1E" w14:textId="581D9AF3" w:rsidR="002F2C0A" w:rsidRPr="009C0B21" w:rsidRDefault="002F2C0A" w:rsidP="000B5851">
                            <w:pPr>
                              <w:rPr>
                                <w:bCs/>
                              </w:rPr>
                            </w:pPr>
                            <w:r w:rsidRPr="00FD1938">
                              <w:rPr>
                                <w:lang w:bidi="fr-FR"/>
                              </w:rPr>
                              <w:t xml:space="preserve">Étape 2 : le questionnaire a été rempli par un certain nombre de parties prenantes à l’issue de consultations formelles et informelles par courriel et par téléphone, ainsi que manuellement. </w:t>
                            </w:r>
                          </w:p>
                          <w:p w14:paraId="1C116441" w14:textId="3EAB0FCB" w:rsidR="002F2C0A" w:rsidRPr="009C0B21" w:rsidRDefault="002F2C0A" w:rsidP="000B5851">
                            <w:pPr>
                              <w:rPr>
                                <w:bCs/>
                              </w:rPr>
                            </w:pPr>
                            <w:r w:rsidRPr="00FD1938">
                              <w:rPr>
                                <w:lang w:bidi="fr-FR"/>
                              </w:rPr>
                              <w:t xml:space="preserve">Étape 3 : les résultats des différentes enquêtes ont été regroupés par l’équipe spéciale et analysés, en prenant notamment en compte la diversité des réponses aux questions individuelles. </w:t>
                            </w:r>
                          </w:p>
                          <w:p w14:paraId="222EBCCE" w14:textId="4F0890A1" w:rsidR="002F2C0A" w:rsidRPr="009C0B21" w:rsidRDefault="002F2C0A" w:rsidP="000B5851">
                            <w:r w:rsidRPr="00FD1938">
                              <w:rPr>
                                <w:lang w:bidi="fr-FR"/>
                              </w:rPr>
                              <w:t xml:space="preserve">Étape 4 : un grand atelier a été organisé en présence de nombreuses parties prenantes afin de débattre des résultats et d’arriver à un accord sur les réponses finales.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2EFC67C7" id="_x0000_t202" coordsize="21600,21600" o:spt="202" path="m,l,21600r21600,l21600,xe">
                <v:stroke joinstyle="miter"/>
                <v:path gradientshapeok="t" o:connecttype="rect"/>
              </v:shapetype>
              <v:shape id="Text Box 2" o:spid="_x0000_s1026" type="#_x0000_t202" style="width:497.05pt;height:196.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" filled="f" strokecolor="black [3213]">
                <v:textbox>
                  <w:txbxContent>
                    <w:p w14:paraId="113A8D1C" w14:textId="7A280B02" w:rsidR="002F2C0A" w:rsidRPr="009C0B21" w:rsidRDefault="002F2C0A" w:rsidP="000B5851">
                      <w:pPr>
                        <w:rPr>
                          <w:b/>
                        </w:rPr>
                      </w:pPr>
                      <w:r w:rsidRPr="00FD1938">
                        <w:rPr>
                          <w:b/>
                          <w:lang w:bidi="fr-FR"/>
                        </w:rPr>
                        <w:t>Encadré 1 : Pour inspiration, processus national de l’Ouganda lors de la mise à l’essai de l’instrument</w:t>
                      </w:r>
                    </w:p>
                    <w:p w14:paraId="5153FD26" w14:textId="77777777" w:rsidR="002F2C0A" w:rsidRPr="009C0B21" w:rsidRDefault="002F2C0A" w:rsidP="000B5851">
                      <w:pPr>
                        <w:rPr>
                          <w:bCs/>
                        </w:rPr>
                      </w:pPr>
                      <w:r w:rsidRPr="00FD1938">
                        <w:rPr>
                          <w:lang w:bidi="fr-FR"/>
                        </w:rPr>
                        <w:t xml:space="preserve">Le processus national a été coordonné par la Direction de la gestion des ressources en eau du ministère de l’Eau et de l’Environnement. </w:t>
                      </w:r>
                    </w:p>
                    <w:p w14:paraId="4CAF3480" w14:textId="6D3B41D0" w:rsidR="002F2C0A" w:rsidRPr="009C0B21" w:rsidRDefault="002F2C0A" w:rsidP="000B5851">
                      <w:pPr>
                        <w:rPr>
                          <w:bCs/>
                        </w:rPr>
                      </w:pPr>
                      <w:r w:rsidRPr="00FD1938">
                        <w:rPr>
                          <w:lang w:bidi="fr-FR"/>
                        </w:rPr>
                        <w:t xml:space="preserve">Étape 1 : une équipe spéciale, composée de représentants d’un ensemble de secteurs et de parties prenantes, a été créée. </w:t>
                      </w:r>
                    </w:p>
                    <w:p w14:paraId="1C7D4E1E" w14:textId="581D9AF3" w:rsidR="002F2C0A" w:rsidRPr="009C0B21" w:rsidRDefault="002F2C0A" w:rsidP="000B5851">
                      <w:pPr>
                        <w:rPr>
                          <w:bCs/>
                        </w:rPr>
                      </w:pPr>
                      <w:r w:rsidRPr="00FD1938">
                        <w:rPr>
                          <w:lang w:bidi="fr-FR"/>
                        </w:rPr>
                        <w:t xml:space="preserve">Étape 2 : le questionnaire a été rempli par un certain nombre de parties prenantes à l’issue de consultations formelles et informelles par courriel et par téléphone, ainsi que manuellement. </w:t>
                      </w:r>
                    </w:p>
                    <w:p w14:paraId="1C116441" w14:textId="3EAB0FCB" w:rsidR="002F2C0A" w:rsidRPr="009C0B21" w:rsidRDefault="002F2C0A" w:rsidP="000B5851">
                      <w:pPr>
                        <w:rPr>
                          <w:bCs/>
                        </w:rPr>
                      </w:pPr>
                      <w:r w:rsidRPr="00FD1938">
                        <w:rPr>
                          <w:lang w:bidi="fr-FR"/>
                        </w:rPr>
                        <w:t xml:space="preserve">Étape 3 : les résultats des différentes enquêtes ont été regroupés par l’équipe spéciale et analysés, en prenant notamment en compte la diversité des réponses aux questions individuelles. </w:t>
                      </w:r>
                    </w:p>
                    <w:p w14:paraId="222EBCCE" w14:textId="4F0890A1" w:rsidR="002F2C0A" w:rsidRPr="009C0B21" w:rsidRDefault="002F2C0A" w:rsidP="000B5851">
                      <w:r w:rsidRPr="00FD1938">
                        <w:rPr>
                          <w:lang w:bidi="fr-FR"/>
                        </w:rPr>
                        <w:t xml:space="preserve">Étape 4 : un grand atelier a été organisé en présence de nombreuses parties prenantes afin de débattre des résultats et d’arriver à un accord sur les réponses finales. </w:t>
                      </w:r>
                    </w:p>
                  </w:txbxContent>
                </v:textbox>
                <w10:anchorlock/>
              </v:shape>
            </w:pict>
          </mc:Fallback>
        </mc:AlternateContent>
      </w:r>
    </w:p>
    <w:p w14:paraId="63FBA27E" w14:textId="3B387EA7" w:rsidR="00B278A6" w:rsidRPr="00743CEC" w:rsidRDefault="00B278A6" w:rsidP="00AC3EAC">
      <w:pPr>
        <w:rPr>
          <w:sz w:val="22"/>
          <w:szCs w:val="22"/>
          <w:lang w:val="en-GB"/>
        </w:rPr>
      </w:pPr>
    </w:p>
    <w:p w14:paraId="50D094B6" w14:textId="751964ED" w:rsidR="00AC3EAC" w:rsidRPr="00743CEC" w:rsidRDefault="00777A7D" w:rsidP="00AB2845">
      <w:pPr>
        <w:pStyle w:val="Heading1"/>
      </w:pPr>
      <w:r w:rsidRPr="00743CEC">
        <w:rPr>
          <w:lang w:val="fr-FR" w:bidi="fr-FR"/>
        </w:rPr>
        <w:t>D</w:t>
      </w:r>
      <w:r w:rsidR="009C0B21">
        <w:rPr>
          <w:lang w:val="fr-FR" w:bidi="fr-FR"/>
        </w:rPr>
        <w:t>é</w:t>
      </w:r>
      <w:r w:rsidRPr="00743CEC">
        <w:rPr>
          <w:lang w:val="fr-FR" w:bidi="fr-FR"/>
        </w:rPr>
        <w:t>finition des cibles</w:t>
      </w:r>
    </w:p>
    <w:p w14:paraId="6D6C043F" w14:textId="3E046A44" w:rsidR="00F8146D" w:rsidRPr="009C0B21" w:rsidRDefault="00F8146D" w:rsidP="006D537B">
      <w:pPr>
        <w:jc w:val="both"/>
        <w:rPr>
          <w:sz w:val="22"/>
          <w:szCs w:val="22"/>
        </w:rPr>
      </w:pPr>
      <w:r w:rsidRPr="00743CEC">
        <w:rPr>
          <w:sz w:val="22"/>
          <w:szCs w:val="22"/>
          <w:lang w:bidi="fr-FR"/>
        </w:rPr>
        <w:t xml:space="preserve">La cible mondiale et ambitieuse relative à l’indicateur 6.5.1 est d’atteindre un niveau « très élevé » de mise en œuvre (note comprise entre 91 et 100) d’ici à 2030. Néanmoins, du fait qu’une mise en œuvre complète de la GIRE peut prendre des dizaines d’années, que les pays ne se situent pas tous au même niveau et qu’ils ne disposent pas des mêmes priorités et capacités, il est possible que ces derniers souhaitent définir leurs cibles nationales en se basant sur le niveau d’ambition mondial tout en prenant en compte leurs propres circonstances (voir encadré 2). </w:t>
      </w:r>
    </w:p>
    <w:p w14:paraId="63EBD760" w14:textId="35CE95E7" w:rsidR="00F8146D" w:rsidRPr="009C0B21" w:rsidRDefault="00F8146D" w:rsidP="006D537B">
      <w:pPr>
        <w:jc w:val="both"/>
        <w:rPr>
          <w:sz w:val="22"/>
          <w:szCs w:val="22"/>
        </w:rPr>
      </w:pPr>
      <w:r w:rsidRPr="00743CEC">
        <w:rPr>
          <w:sz w:val="22"/>
          <w:szCs w:val="22"/>
          <w:lang w:bidi="fr-FR"/>
        </w:rPr>
        <w:t xml:space="preserve">Bien que la définition de cibles nationales ne soit pas obligatoire dans le processus d’élaboration de comptes rendus de la deuxième campagne de collecte de données relatives à l’indicateur 6.5.1, elle facilitera et accélérera les </w:t>
      </w:r>
      <w:r w:rsidRPr="00743CEC">
        <w:rPr>
          <w:sz w:val="22"/>
          <w:szCs w:val="22"/>
          <w:lang w:bidi="fr-FR"/>
        </w:rPr>
        <w:lastRenderedPageBreak/>
        <w:t xml:space="preserve">progrès en faveur de la mise en œuvre de la GIRE et soutiendra la réalisation de la cible 6.5. Dans le cadre de processus plus vastes de planification au niveau national, des cibles peuvent être définies pour la note globale de l’indicateur (mise en œuvre de la GIRE), tout comme pour des questions individuelles. Ces cibles doivent être définies pour 2030. Des cibles finales peuvent être fixées au-delà de 2030 et des cibles intermédiaires peuvent également être créées. Lorsque des cibles existent, celles-ci peuvent être expliquées dans le champ « Perspectives </w:t>
      </w:r>
      <w:r w:rsidR="00F07A0C">
        <w:rPr>
          <w:sz w:val="22"/>
          <w:szCs w:val="22"/>
          <w:lang w:bidi="fr-FR"/>
        </w:rPr>
        <w:t>pour l</w:t>
      </w:r>
      <w:r w:rsidRPr="00743CEC">
        <w:rPr>
          <w:sz w:val="22"/>
          <w:szCs w:val="22"/>
          <w:lang w:bidi="fr-FR"/>
        </w:rPr>
        <w:t xml:space="preserve">’avenir » de chaque question, ou dans l’annexe C lorsqu’il s’agit de cibles plus globales. </w:t>
      </w:r>
    </w:p>
    <w:p w14:paraId="1CFB7E24" w14:textId="5482E045" w:rsidR="0075651E" w:rsidRDefault="009E6338" w:rsidP="00F8146D">
      <w:pPr>
        <w:rPr>
          <w:sz w:val="22"/>
          <w:szCs w:val="22"/>
          <w:lang w:val="en-GB"/>
        </w:rPr>
      </w:pPr>
      <w:r>
        <w:rPr>
          <w:noProof/>
          <w:sz w:val="22"/>
          <w:szCs w:val="22"/>
          <w:lang w:bidi="fr-FR"/>
        </w:rPr>
        <mc:AlternateContent>
          <mc:Choice Requires="wps">
            <w:drawing>
              <wp:inline distT="0" distB="0" distL="0" distR="0" wp14:anchorId="62A9ED2F" wp14:editId="57824FAB">
                <wp:extent cx="6515100" cy="916940"/>
                <wp:effectExtent l="0" t="0" r="38100" b="31750"/>
                <wp:docPr id="3" name="Text Box 3"/>
                <wp:cNvGraphicFramePr/>
                <a:graphic xmlns:a="http://schemas.openxmlformats.org/drawingml/2006/main">
                  <a:graphicData uri="http://schemas.microsoft.com/office/word/2010/wordprocessingShape">
                    <wps:wsp>
                      <wps:cNvSpPr txBox="1"/>
                      <wps:spPr>
                        <a:xfrm>
                          <a:off x="0" y="0"/>
                          <a:ext cx="6515100" cy="916940"/>
                        </a:xfrm>
                        <a:prstGeom prst="rect">
                          <a:avLst/>
                        </a:prstGeom>
                        <a:noFill/>
                        <a:ln>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25E08873" w14:textId="77777777" w:rsidR="009E6338" w:rsidRPr="009C0B21" w:rsidRDefault="009E6338" w:rsidP="009E6338">
                            <w:pPr>
                              <w:rPr>
                                <w:b/>
                              </w:rPr>
                            </w:pPr>
                            <w:r w:rsidRPr="00F013BF">
                              <w:rPr>
                                <w:b/>
                                <w:lang w:bidi="fr-FR"/>
                              </w:rPr>
                              <w:t>Encadré 2 : Extrait de la résolution relative au Programme de développement durable à l’horizon 2030, paragraphe 55.</w:t>
                            </w:r>
                          </w:p>
                          <w:p w14:paraId="019F5B87" w14:textId="31DF681D" w:rsidR="009E6338" w:rsidRDefault="009E6338" w:rsidP="009E6338">
                            <w:r w:rsidRPr="0054448C">
                              <w:rPr>
                                <w:lang w:bidi="fr-FR"/>
                              </w:rPr>
                              <w:t>Les objectifs et les cibles de développement durable sont intégrés et indissociables ; ils sont par essence globaux et applicables universellement, compte tenu des réalités, des capacités et des niveaux de développement des différents pays et dans le respect des priorités et politiques nationales. Si des cibles idéales sont définies à l’échelle mondiale, c’est à chaque État qu’il revient de fixer ses propres cibles au niveau national pour répondre aux ambitions mondiales tout en tenant compte de ses spécificités. Il appartient aussi à chaque État de décider de la manière dont ces aspirations et cibles devront être prises en compte par les mécanismes nationaux de planification et dans les politiques et stratégies nationales. Il importe de ne pas méconnaître le lien qui existe entre le développement durable et les autres processus en cours dans les domaines économique, social et environnemental.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inline>
            </w:drawing>
          </mc:Choice>
          <mc:Fallback>
            <w:pict>
              <v:shape w14:anchorId="62A9ED2F" id="Text Box 3" o:spid="_x0000_s1027" type="#_x0000_t202" style="width:513pt;height:72.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" filled="f" strokecolor="black [3213]">
                <v:textbox style="mso-fit-shape-to-text:t">
                  <w:txbxContent>
                    <w:p w14:paraId="25E08873" w14:textId="77777777" w:rsidR="009E6338" w:rsidRPr="009C0B21" w:rsidRDefault="009E6338" w:rsidP="009E6338">
                      <w:pPr>
                        <w:rPr>
                          <w:b/>
                        </w:rPr>
                      </w:pPr>
                      <w:r w:rsidRPr="00F013BF">
                        <w:rPr>
                          <w:b/>
                          <w:lang w:bidi="fr-FR"/>
                        </w:rPr>
                        <w:t>Encadré 2 : Extrait de la résolution relative au Programme de développement durable à l’horizon 2030, paragraphe 55.</w:t>
                      </w:r>
                    </w:p>
                    <w:p w14:paraId="019F5B87" w14:textId="31DF681D" w:rsidR="009E6338" w:rsidRDefault="009E6338" w:rsidP="009E6338">
                      <w:r w:rsidRPr="0054448C">
                        <w:rPr>
                          <w:lang w:bidi="fr-FR"/>
                        </w:rPr>
                        <w:t>Les objectifs et les cibles de développement durable sont intégrés et indissociables ; ils sont par essence globaux et applicables universellement, compte tenu des réalités, des capacités et des niveaux de développement des différents pays et dans le respect des priorités et politiques nationales. Si des cibles idéales sont définies à l’échelle mondiale, c’est à chaque État qu’il revient de fixer ses propres cibles au niveau national pour répondre aux ambitions mondiales tout en tenant compte de ses spécificités. Il appartient aussi à chaque État de décider de la manière dont ces aspirations et cibles devront être prises en compte par les mécanismes nationaux de planification et dans les politiques et stratégies nationales. Il importe de ne pas méconnaître le lien qui existe entre le développement durable et les autres processus en cours dans les domaines économique, social et environnemental.</w:t>
                      </w:r>
                    </w:p>
                  </w:txbxContent>
                </v:textbox>
                <w10:anchorlock/>
              </v:shape>
            </w:pict>
          </mc:Fallback>
        </mc:AlternateContent>
      </w:r>
    </w:p>
    <w:p w14:paraId="69B26CB1" w14:textId="086A8FF5" w:rsidR="00F8146D" w:rsidRPr="009C0B21" w:rsidRDefault="00F8146D" w:rsidP="006D537B">
      <w:pPr>
        <w:jc w:val="both"/>
        <w:rPr>
          <w:sz w:val="22"/>
          <w:szCs w:val="22"/>
        </w:rPr>
      </w:pPr>
      <w:r w:rsidRPr="00743CEC">
        <w:rPr>
          <w:sz w:val="22"/>
          <w:szCs w:val="22"/>
          <w:lang w:bidi="fr-FR"/>
        </w:rPr>
        <w:t xml:space="preserve">Pour les pays, l’un des principaux avantages de cette enquête repose sur la possibilité de ventiler les données par composante et par question. Ils peuvent utiliser cette ventilation de manière à fournir une évaluation rapide des aspects de la GIRE qui montrent des progrès notables et de ceux qui nécessitent des efforts accrus. </w:t>
      </w:r>
    </w:p>
    <w:p w14:paraId="7D00B4F0" w14:textId="4BBE15D4" w:rsidR="00F8146D" w:rsidRPr="009C0B21" w:rsidRDefault="00F8146D" w:rsidP="006D537B">
      <w:pPr>
        <w:jc w:val="both"/>
        <w:rPr>
          <w:sz w:val="22"/>
          <w:szCs w:val="22"/>
        </w:rPr>
      </w:pPr>
      <w:r w:rsidRPr="00743CEC">
        <w:rPr>
          <w:sz w:val="22"/>
          <w:szCs w:val="22"/>
          <w:lang w:bidi="fr-FR"/>
        </w:rPr>
        <w:t xml:space="preserve">Une interprétation générale de la </w:t>
      </w:r>
      <w:r w:rsidRPr="00743CEC">
        <w:rPr>
          <w:sz w:val="22"/>
          <w:szCs w:val="22"/>
          <w:u w:val="single"/>
          <w:lang w:bidi="fr-FR"/>
        </w:rPr>
        <w:t>note globale</w:t>
      </w:r>
      <w:r w:rsidRPr="00743CEC">
        <w:rPr>
          <w:sz w:val="22"/>
          <w:szCs w:val="22"/>
          <w:lang w:bidi="fr-FR"/>
        </w:rPr>
        <w:t xml:space="preserve"> peut être donnée comme suit, suivant le « degré de mise en œuvre de la GIRE ». </w:t>
      </w:r>
      <w:r w:rsidRPr="00743CEC">
        <w:rPr>
          <w:b/>
          <w:sz w:val="22"/>
          <w:szCs w:val="22"/>
          <w:lang w:bidi="fr-FR"/>
        </w:rPr>
        <w:t>Néanmoins, des interprétations plus spécifiques à chaque question sont données dans le questionnaire d’enquête.</w:t>
      </w:r>
      <w:r w:rsidRPr="00743CEC">
        <w:rPr>
          <w:sz w:val="22"/>
          <w:szCs w:val="22"/>
          <w:lang w:bidi="fr-FR"/>
        </w:rPr>
        <w:t xml:space="preserve"> </w:t>
      </w:r>
    </w:p>
    <w:p w14:paraId="1F2A57F2" w14:textId="42D81005" w:rsidR="00F8146D" w:rsidRPr="009C0B21" w:rsidRDefault="00F8146D" w:rsidP="00F8146D">
      <w:pPr>
        <w:pStyle w:val="ListParagraph"/>
        <w:numPr>
          <w:ilvl w:val="0"/>
          <w:numId w:val="12"/>
        </w:numPr>
        <w:rPr>
          <w:sz w:val="22"/>
          <w:szCs w:val="22"/>
        </w:rPr>
      </w:pPr>
      <w:r w:rsidRPr="00743CEC">
        <w:rPr>
          <w:sz w:val="22"/>
          <w:szCs w:val="22"/>
          <w:lang w:bidi="fr-FR"/>
        </w:rPr>
        <w:t xml:space="preserve">0 – 10 : Très faible. La mise en œuvre des éléments de la GIRE n’a généralement pas commencé ou a pris du retard. </w:t>
      </w:r>
    </w:p>
    <w:p w14:paraId="367CA306" w14:textId="77777777" w:rsidR="00F8146D" w:rsidRPr="009C0B21" w:rsidRDefault="00F8146D" w:rsidP="00F8146D">
      <w:pPr>
        <w:pStyle w:val="ListParagraph"/>
        <w:numPr>
          <w:ilvl w:val="0"/>
          <w:numId w:val="12"/>
        </w:numPr>
        <w:rPr>
          <w:sz w:val="22"/>
          <w:szCs w:val="22"/>
        </w:rPr>
      </w:pPr>
      <w:r w:rsidRPr="00743CEC">
        <w:rPr>
          <w:sz w:val="22"/>
          <w:szCs w:val="22"/>
          <w:lang w:bidi="fr-FR"/>
        </w:rPr>
        <w:t xml:space="preserve">11 – 30 : Faible. La mise en œuvre des éléments de la GIRE a généralement commencé, mais leur adoption est limitée à travers le pays et l’implication des groupes de parties prenantes est potentiellement faible. </w:t>
      </w:r>
    </w:p>
    <w:p w14:paraId="6686FB4A" w14:textId="77777777" w:rsidR="00F8146D" w:rsidRPr="009C0B21" w:rsidRDefault="00F8146D" w:rsidP="00F8146D">
      <w:pPr>
        <w:pStyle w:val="ListParagraph"/>
        <w:numPr>
          <w:ilvl w:val="0"/>
          <w:numId w:val="12"/>
        </w:numPr>
        <w:rPr>
          <w:sz w:val="22"/>
          <w:szCs w:val="22"/>
        </w:rPr>
      </w:pPr>
      <w:r w:rsidRPr="00743CEC">
        <w:rPr>
          <w:sz w:val="22"/>
          <w:szCs w:val="22"/>
          <w:lang w:bidi="fr-FR"/>
        </w:rPr>
        <w:t xml:space="preserve">31 – 50 : Moyen-faible. Les éléments de la GIRE sont généralement institutionnalisés et leur mise en œuvre est en cours. </w:t>
      </w:r>
    </w:p>
    <w:p w14:paraId="6363251D" w14:textId="6AECC90C" w:rsidR="00F8146D" w:rsidRPr="009C0B21" w:rsidRDefault="00F8146D" w:rsidP="00F8146D">
      <w:pPr>
        <w:pStyle w:val="ListParagraph"/>
        <w:numPr>
          <w:ilvl w:val="0"/>
          <w:numId w:val="12"/>
        </w:numPr>
        <w:rPr>
          <w:sz w:val="22"/>
          <w:szCs w:val="22"/>
        </w:rPr>
      </w:pPr>
      <w:r w:rsidRPr="00743CEC">
        <w:rPr>
          <w:sz w:val="22"/>
          <w:szCs w:val="22"/>
          <w:lang w:bidi="fr-FR"/>
        </w:rPr>
        <w:t xml:space="preserve">51 – 70 : Moyen-élevé. La capacité à mettre en œuvre les éléments de la GIRE est généralement appropriée et les éléments sont généralement mis en œuvre dans le cadre de programmes à long terme. </w:t>
      </w:r>
    </w:p>
    <w:p w14:paraId="6D93C491" w14:textId="77777777" w:rsidR="00F8146D" w:rsidRPr="009C0B21" w:rsidRDefault="00F8146D" w:rsidP="00F8146D">
      <w:pPr>
        <w:pStyle w:val="ListParagraph"/>
        <w:numPr>
          <w:ilvl w:val="0"/>
          <w:numId w:val="12"/>
        </w:numPr>
        <w:rPr>
          <w:sz w:val="22"/>
          <w:szCs w:val="22"/>
        </w:rPr>
      </w:pPr>
      <w:r w:rsidRPr="00743CEC">
        <w:rPr>
          <w:sz w:val="22"/>
          <w:szCs w:val="22"/>
          <w:lang w:bidi="fr-FR"/>
        </w:rPr>
        <w:t xml:space="preserve">71 – 90 : Élevé. Les objectifs des plans et des programmes en matière de GIRE sont généralement atteints et la couverture géographique ainsi que l’implication des parties prenantes sont généralement satisfaisantes. </w:t>
      </w:r>
    </w:p>
    <w:p w14:paraId="58E8D241" w14:textId="1E346066" w:rsidR="00581ED8" w:rsidRDefault="00F8146D" w:rsidP="00F8146D">
      <w:pPr>
        <w:pStyle w:val="ListParagraph"/>
        <w:numPr>
          <w:ilvl w:val="0"/>
          <w:numId w:val="12"/>
        </w:numPr>
        <w:rPr>
          <w:sz w:val="22"/>
          <w:szCs w:val="22"/>
          <w:lang w:bidi="fr-FR"/>
        </w:rPr>
      </w:pPr>
      <w:r w:rsidRPr="00743CEC">
        <w:rPr>
          <w:sz w:val="22"/>
          <w:szCs w:val="22"/>
          <w:lang w:bidi="fr-FR"/>
        </w:rPr>
        <w:t xml:space="preserve">91 – 100 : Très élevé. Les éléments de la GIRE sont en grande majorité parfaitement mis en œuvre, les objectifs sont systématiquement atteints et les plans et programmes sont évalués et révisés régulièrement. </w:t>
      </w:r>
    </w:p>
    <w:p w14:paraId="0DCD75FF" w14:textId="470951C8" w:rsidR="00F8146D" w:rsidRPr="00581ED8" w:rsidRDefault="00581ED8" w:rsidP="00581ED8">
      <w:pPr>
        <w:spacing w:after="200"/>
        <w:rPr>
          <w:sz w:val="22"/>
          <w:szCs w:val="22"/>
          <w:lang w:bidi="fr-FR"/>
        </w:rPr>
      </w:pPr>
      <w:r>
        <w:rPr>
          <w:sz w:val="22"/>
          <w:szCs w:val="22"/>
          <w:lang w:bidi="fr-FR"/>
        </w:rPr>
        <w:br w:type="page"/>
      </w:r>
    </w:p>
    <w:p w14:paraId="0D4E81F1" w14:textId="515981D4" w:rsidR="007D6DEA" w:rsidRPr="009C0B21" w:rsidRDefault="007D6DEA" w:rsidP="0058462A">
      <w:pPr>
        <w:pStyle w:val="Heading1"/>
        <w:rPr>
          <w:lang w:val="fr-FR"/>
        </w:rPr>
      </w:pPr>
      <w:r>
        <w:rPr>
          <w:lang w:val="fr-FR" w:bidi="fr-FR"/>
        </w:rPr>
        <w:lastRenderedPageBreak/>
        <w:t>Utilisation d</w:t>
      </w:r>
      <w:r w:rsidR="00E74E1C">
        <w:rPr>
          <w:lang w:val="fr-FR" w:bidi="fr-FR"/>
        </w:rPr>
        <w:t>u</w:t>
      </w:r>
      <w:r w:rsidR="00E74E1C" w:rsidRPr="0017193E">
        <w:rPr>
          <w:lang w:val="fr-FR" w:bidi="fr-FR"/>
        </w:rPr>
        <w:t xml:space="preserve"> questionnaire</w:t>
      </w:r>
      <w:r w:rsidR="00E74E1C">
        <w:rPr>
          <w:lang w:val="fr-FR" w:bidi="fr-FR"/>
        </w:rPr>
        <w:t xml:space="preserve"> </w:t>
      </w:r>
      <w:r>
        <w:rPr>
          <w:lang w:val="fr-FR" w:bidi="fr-FR"/>
        </w:rPr>
        <w:t>d’enquête dans le cadre de la planification nationale</w:t>
      </w:r>
    </w:p>
    <w:p w14:paraId="3CBF9866" w14:textId="77777777" w:rsidR="007D6DEA" w:rsidRPr="00743CEC" w:rsidRDefault="007D6DEA" w:rsidP="007D6DEA">
      <w:pPr>
        <w:jc w:val="both"/>
        <w:rPr>
          <w:rFonts w:eastAsia="Times New Roman" w:cs="Times New Roman"/>
          <w:b/>
          <w:sz w:val="22"/>
          <w:szCs w:val="22"/>
        </w:rPr>
      </w:pPr>
      <w:r w:rsidRPr="00743CEC">
        <w:rPr>
          <w:rFonts w:eastAsia="Times New Roman" w:cs="Times New Roman"/>
          <w:b/>
          <w:sz w:val="22"/>
          <w:szCs w:val="22"/>
          <w:lang w:bidi="fr-FR"/>
        </w:rPr>
        <w:t>Au niveau national</w:t>
      </w:r>
    </w:p>
    <w:p w14:paraId="1D464FBB" w14:textId="71D683B8" w:rsidR="007D6DEA" w:rsidRPr="00743CEC" w:rsidRDefault="007D6DEA" w:rsidP="007D6DEA">
      <w:pPr>
        <w:jc w:val="both"/>
        <w:rPr>
          <w:rFonts w:eastAsia="Times New Roman" w:cs="Times New Roman"/>
          <w:sz w:val="22"/>
          <w:szCs w:val="22"/>
        </w:rPr>
      </w:pPr>
      <w:r w:rsidRPr="00743CEC">
        <w:rPr>
          <w:rFonts w:eastAsia="Times New Roman" w:cs="Times New Roman"/>
          <w:sz w:val="22"/>
          <w:szCs w:val="22"/>
          <w:lang w:bidi="fr-FR"/>
        </w:rPr>
        <w:t>L’élaboration de comptes rendus offre la possibilité aux pays de revoir systématiquement leurs modalités de gouvernance en matière de gestion des ressources en eau à tous les niveaux. Grâce à la méthodologie d</w:t>
      </w:r>
      <w:r w:rsidR="00E74E1C">
        <w:rPr>
          <w:rFonts w:eastAsia="Times New Roman" w:cs="Times New Roman"/>
          <w:sz w:val="22"/>
          <w:szCs w:val="22"/>
          <w:lang w:bidi="fr-FR"/>
        </w:rPr>
        <w:t>u</w:t>
      </w:r>
      <w:r w:rsidR="00E74E1C" w:rsidRPr="00E74E1C">
        <w:rPr>
          <w:sz w:val="22"/>
          <w:szCs w:val="22"/>
          <w:lang w:bidi="fr-FR"/>
        </w:rPr>
        <w:t xml:space="preserve"> </w:t>
      </w:r>
      <w:r w:rsidR="00E74E1C">
        <w:rPr>
          <w:sz w:val="22"/>
          <w:szCs w:val="22"/>
          <w:lang w:bidi="fr-FR"/>
        </w:rPr>
        <w:t>questionnaire</w:t>
      </w:r>
      <w:r w:rsidR="00E74E1C" w:rsidRPr="00743CEC">
        <w:rPr>
          <w:rFonts w:eastAsia="Times New Roman" w:cs="Times New Roman"/>
          <w:sz w:val="22"/>
          <w:szCs w:val="22"/>
          <w:lang w:bidi="fr-FR"/>
        </w:rPr>
        <w:t xml:space="preserve"> </w:t>
      </w:r>
      <w:r w:rsidRPr="00743CEC">
        <w:rPr>
          <w:rFonts w:eastAsia="Times New Roman" w:cs="Times New Roman"/>
          <w:sz w:val="22"/>
          <w:szCs w:val="22"/>
          <w:lang w:bidi="fr-FR"/>
        </w:rPr>
        <w:t xml:space="preserve">d’enquête, les examens mettent en évidence non seulement les lacunes des accords existants, mais également les obstacles et les succès en matière de mise en œuvre desdits accords. </w:t>
      </w:r>
    </w:p>
    <w:p w14:paraId="2D6D8822" w14:textId="77777777" w:rsidR="007D6DEA" w:rsidRPr="00743CEC" w:rsidRDefault="007D6DEA" w:rsidP="007D6DEA">
      <w:pPr>
        <w:jc w:val="both"/>
        <w:rPr>
          <w:rFonts w:eastAsia="Times New Roman" w:cs="Times New Roman"/>
          <w:sz w:val="22"/>
          <w:szCs w:val="22"/>
        </w:rPr>
      </w:pPr>
      <w:r w:rsidRPr="00743CEC">
        <w:rPr>
          <w:rFonts w:eastAsia="Times New Roman" w:cs="Times New Roman"/>
          <w:sz w:val="22"/>
          <w:szCs w:val="22"/>
          <w:lang w:bidi="fr-FR"/>
        </w:rPr>
        <w:t>Si les comptes rendus sont établis de manière consultative et impliquent de nombreuses parties prenantes, ils peuvent aider ces dernières à acquérir une compréhension commune des possibilités et des difficultés existantes en matière de gestion des ressources en eau.</w:t>
      </w:r>
    </w:p>
    <w:p w14:paraId="5E0C59F7" w14:textId="4D8824A7" w:rsidR="007D6DEA" w:rsidRPr="00743CEC" w:rsidRDefault="007D6DEA" w:rsidP="007D6DEA">
      <w:pPr>
        <w:jc w:val="both"/>
        <w:rPr>
          <w:rFonts w:eastAsia="Times New Roman" w:cs="Times New Roman"/>
          <w:sz w:val="22"/>
          <w:szCs w:val="22"/>
        </w:rPr>
      </w:pPr>
      <w:r w:rsidRPr="00743CEC">
        <w:rPr>
          <w:rFonts w:eastAsia="Times New Roman" w:cs="Times New Roman"/>
          <w:sz w:val="22"/>
          <w:szCs w:val="22"/>
          <w:lang w:bidi="fr-FR"/>
        </w:rPr>
        <w:t>L</w:t>
      </w:r>
      <w:r w:rsidR="00E74E1C">
        <w:rPr>
          <w:rFonts w:eastAsia="Times New Roman" w:cs="Times New Roman"/>
          <w:sz w:val="22"/>
          <w:szCs w:val="22"/>
          <w:lang w:bidi="fr-FR"/>
        </w:rPr>
        <w:t>e</w:t>
      </w:r>
      <w:r w:rsidR="00E74E1C" w:rsidRPr="00E74E1C">
        <w:rPr>
          <w:sz w:val="22"/>
          <w:szCs w:val="22"/>
          <w:lang w:bidi="fr-FR"/>
        </w:rPr>
        <w:t xml:space="preserve"> </w:t>
      </w:r>
      <w:r w:rsidR="00E74E1C">
        <w:rPr>
          <w:sz w:val="22"/>
          <w:szCs w:val="22"/>
          <w:lang w:bidi="fr-FR"/>
        </w:rPr>
        <w:t xml:space="preserve">questionnaire </w:t>
      </w:r>
      <w:r w:rsidRPr="00743CEC">
        <w:rPr>
          <w:rFonts w:eastAsia="Times New Roman" w:cs="Times New Roman"/>
          <w:sz w:val="22"/>
          <w:szCs w:val="22"/>
          <w:lang w:bidi="fr-FR"/>
        </w:rPr>
        <w:t xml:space="preserve">d’enquête dûment rempli, ainsi que le processus afférent peuvent donc être des ressources utiles aux processus de planification nationale visant à stimuler la gestion des ressources en eau et à atteindre un équilibre entre priorités sociales, économiques et environnementales. </w:t>
      </w:r>
    </w:p>
    <w:p w14:paraId="1AE43BDD" w14:textId="77777777" w:rsidR="007D6DEA" w:rsidRPr="00743CEC" w:rsidRDefault="007D6DEA" w:rsidP="007D6DEA">
      <w:pPr>
        <w:jc w:val="both"/>
        <w:rPr>
          <w:rFonts w:eastAsia="Times New Roman" w:cs="Times New Roman"/>
          <w:sz w:val="22"/>
          <w:szCs w:val="22"/>
        </w:rPr>
      </w:pPr>
      <w:r w:rsidRPr="00743CEC">
        <w:rPr>
          <w:rFonts w:eastAsia="Times New Roman" w:cs="Times New Roman"/>
          <w:sz w:val="22"/>
          <w:szCs w:val="22"/>
          <w:lang w:bidi="fr-FR"/>
        </w:rPr>
        <w:t xml:space="preserve">Les pays pourraient envisager d’intégrer les processus d’élaboration de comptes rendus décrits dans ce document à leur planification nationale. Ils pourraient, par exemple, organiser des ateliers qui aborderaient aussi bien l’évaluation que l’élaboration de comptes rendus relatifs à la situation actuelle, tout en saisissant cette occasion pour évoquer des stratégies d’accélération de la gestion, de la mise en valeur et de l’utilisation des ressources en eau. Ces processus pourraient contribuer aux processus nationaux en cours ou devenir la priorité des processus nationaux dans les pays qui n’ont pas établi de processus de suivi, d’examen et de planification. </w:t>
      </w:r>
    </w:p>
    <w:p w14:paraId="40D94CAD" w14:textId="77777777" w:rsidR="007D6DEA" w:rsidRPr="00743CEC" w:rsidRDefault="007D6DEA" w:rsidP="007D6DEA">
      <w:pPr>
        <w:jc w:val="both"/>
        <w:rPr>
          <w:rFonts w:eastAsia="Times New Roman" w:cs="Times New Roman"/>
          <w:b/>
          <w:sz w:val="22"/>
          <w:szCs w:val="22"/>
        </w:rPr>
      </w:pPr>
      <w:r w:rsidRPr="00743CEC">
        <w:rPr>
          <w:rFonts w:eastAsia="Times New Roman" w:cs="Times New Roman"/>
          <w:b/>
          <w:sz w:val="22"/>
          <w:szCs w:val="22"/>
          <w:lang w:bidi="fr-FR"/>
        </w:rPr>
        <w:t>Au niveau régional</w:t>
      </w:r>
    </w:p>
    <w:p w14:paraId="6B5F55F2" w14:textId="1D2D6799" w:rsidR="000A17C6" w:rsidRDefault="007D6DEA" w:rsidP="007D6DEA">
      <w:pPr>
        <w:rPr>
          <w:rFonts w:eastAsia="Times New Roman" w:cs="Times New Roman"/>
          <w:sz w:val="22"/>
          <w:szCs w:val="22"/>
        </w:rPr>
      </w:pPr>
      <w:r w:rsidRPr="00743CEC">
        <w:rPr>
          <w:rFonts w:eastAsia="Times New Roman" w:cs="Times New Roman"/>
          <w:sz w:val="22"/>
          <w:szCs w:val="22"/>
          <w:lang w:bidi="fr-FR"/>
        </w:rPr>
        <w:t>Le PNUE peut collaborer avec des organismes régionaux afin de concevoir des évaluations et des produits régionaux qui pourraient contribuer à accélérer la mise en œuvre de la GIRE dans chaque région, y compris en facilitant le partage des bonnes pratiques régionales.</w:t>
      </w:r>
    </w:p>
    <w:p w14:paraId="439E471D" w14:textId="7AF2E96A" w:rsidR="00CD75C4" w:rsidRPr="009C0B21" w:rsidRDefault="00CD75C4" w:rsidP="0058462A">
      <w:pPr>
        <w:pStyle w:val="Heading1"/>
        <w:rPr>
          <w:lang w:val="fr-FR"/>
        </w:rPr>
      </w:pPr>
      <w:r w:rsidRPr="005B629E">
        <w:rPr>
          <w:lang w:val="fr-FR" w:bidi="fr-FR"/>
        </w:rPr>
        <w:t xml:space="preserve">Différences par rapport </w:t>
      </w:r>
      <w:r w:rsidR="00E74E1C">
        <w:rPr>
          <w:lang w:val="fr-FR" w:bidi="fr-FR"/>
        </w:rPr>
        <w:t>au</w:t>
      </w:r>
      <w:r w:rsidR="00E74E1C" w:rsidRPr="0017193E">
        <w:rPr>
          <w:lang w:val="fr-FR" w:bidi="fr-FR"/>
        </w:rPr>
        <w:t xml:space="preserve"> questionnaire</w:t>
      </w:r>
      <w:r w:rsidR="00E74E1C" w:rsidRPr="005B629E">
        <w:rPr>
          <w:lang w:val="fr-FR" w:bidi="fr-FR"/>
        </w:rPr>
        <w:t xml:space="preserve"> </w:t>
      </w:r>
      <w:r w:rsidRPr="005B629E">
        <w:rPr>
          <w:lang w:val="fr-FR" w:bidi="fr-FR"/>
        </w:rPr>
        <w:t>d’enquête de référence</w:t>
      </w:r>
    </w:p>
    <w:p w14:paraId="2A1AFDE6" w14:textId="73634946" w:rsidR="00CD75C4" w:rsidRPr="009C0B21" w:rsidRDefault="00CD75C4" w:rsidP="006D537B">
      <w:pPr>
        <w:pStyle w:val="ListParagraph"/>
        <w:ind w:left="0"/>
        <w:contextualSpacing w:val="0"/>
        <w:jc w:val="both"/>
        <w:rPr>
          <w:color w:val="000000"/>
          <w:sz w:val="22"/>
          <w:szCs w:val="22"/>
        </w:rPr>
      </w:pPr>
      <w:r w:rsidRPr="00743CEC">
        <w:rPr>
          <w:color w:val="000000"/>
          <w:sz w:val="22"/>
          <w:szCs w:val="22"/>
          <w:lang w:bidi="fr-FR"/>
        </w:rPr>
        <w:t>Afin de suivre les progrès avec précision au cours de la période couverte par les ODD, il est important d’être cohérent dans l’élaboration des comptes rendus. De ce fait, l</w:t>
      </w:r>
      <w:r w:rsidR="00E74E1C">
        <w:rPr>
          <w:color w:val="000000"/>
          <w:sz w:val="22"/>
          <w:szCs w:val="22"/>
          <w:lang w:bidi="fr-FR"/>
        </w:rPr>
        <w:t>e</w:t>
      </w:r>
      <w:r w:rsidR="00E74E1C" w:rsidRPr="00E74E1C">
        <w:rPr>
          <w:sz w:val="22"/>
          <w:szCs w:val="22"/>
          <w:lang w:bidi="fr-FR"/>
        </w:rPr>
        <w:t xml:space="preserve"> </w:t>
      </w:r>
      <w:r w:rsidR="00E74E1C">
        <w:rPr>
          <w:sz w:val="22"/>
          <w:szCs w:val="22"/>
          <w:lang w:bidi="fr-FR"/>
        </w:rPr>
        <w:t xml:space="preserve">questionnaire </w:t>
      </w:r>
      <w:r w:rsidRPr="00743CEC">
        <w:rPr>
          <w:color w:val="000000"/>
          <w:sz w:val="22"/>
          <w:szCs w:val="22"/>
          <w:lang w:bidi="fr-FR"/>
        </w:rPr>
        <w:t xml:space="preserve">d’enquête utilisé lors du deuxième cycle de comptes rendus est globalement aligné sur celui utilisé lors de la communication des données de référence entre 2017 et 2018. Néanmoins, à la suite d’une période d’examen en 2019, des modifications mineures ont été apportées </w:t>
      </w:r>
      <w:r w:rsidR="00E74E1C">
        <w:rPr>
          <w:color w:val="000000"/>
          <w:sz w:val="22"/>
          <w:szCs w:val="22"/>
          <w:lang w:bidi="fr-FR"/>
        </w:rPr>
        <w:t>au</w:t>
      </w:r>
      <w:r w:rsidR="00E74E1C" w:rsidRPr="00E74E1C">
        <w:rPr>
          <w:sz w:val="22"/>
          <w:szCs w:val="22"/>
          <w:lang w:bidi="fr-FR"/>
        </w:rPr>
        <w:t xml:space="preserve"> </w:t>
      </w:r>
      <w:r w:rsidR="00E74E1C">
        <w:rPr>
          <w:sz w:val="22"/>
          <w:szCs w:val="22"/>
          <w:lang w:bidi="fr-FR"/>
        </w:rPr>
        <w:t>questionnaire</w:t>
      </w:r>
      <w:r w:rsidR="00E74E1C" w:rsidRPr="00743CEC">
        <w:rPr>
          <w:color w:val="000000"/>
          <w:sz w:val="22"/>
          <w:szCs w:val="22"/>
          <w:lang w:bidi="fr-FR"/>
        </w:rPr>
        <w:t xml:space="preserve"> </w:t>
      </w:r>
      <w:r w:rsidRPr="00743CEC">
        <w:rPr>
          <w:color w:val="000000"/>
          <w:sz w:val="22"/>
          <w:szCs w:val="22"/>
          <w:lang w:bidi="fr-FR"/>
        </w:rPr>
        <w:t>d’enquête afin d’en améliorer la clarté et l’utilité pour les pays</w:t>
      </w:r>
      <w:r w:rsidRPr="00743CEC">
        <w:rPr>
          <w:rStyle w:val="FootnoteReference"/>
          <w:color w:val="000000"/>
          <w:sz w:val="22"/>
          <w:szCs w:val="22"/>
          <w:lang w:bidi="fr-FR"/>
        </w:rPr>
        <w:footnoteReference w:id="1"/>
      </w:r>
      <w:r w:rsidRPr="00743CEC">
        <w:rPr>
          <w:color w:val="000000"/>
          <w:sz w:val="22"/>
          <w:szCs w:val="22"/>
          <w:lang w:bidi="fr-FR"/>
        </w:rPr>
        <w:t xml:space="preserve">. </w:t>
      </w:r>
    </w:p>
    <w:p w14:paraId="688B3CA4" w14:textId="705908DA" w:rsidR="00581ED8" w:rsidRDefault="00CD75C4" w:rsidP="006D537B">
      <w:pPr>
        <w:pStyle w:val="ListParagraph"/>
        <w:ind w:left="0"/>
        <w:contextualSpacing w:val="0"/>
        <w:jc w:val="both"/>
        <w:rPr>
          <w:color w:val="000000"/>
          <w:sz w:val="22"/>
          <w:szCs w:val="22"/>
          <w:lang w:bidi="fr-FR"/>
        </w:rPr>
      </w:pPr>
      <w:r w:rsidRPr="00743CEC">
        <w:rPr>
          <w:color w:val="000000"/>
          <w:sz w:val="22"/>
          <w:szCs w:val="22"/>
          <w:lang w:bidi="fr-FR"/>
        </w:rPr>
        <w:t xml:space="preserve">Le nombre total de questions, 33, reste le même. Les principaux changements apportés aux questions sont présentés dans le tableau suivant. </w:t>
      </w:r>
    </w:p>
    <w:p w14:paraId="22B5792D" w14:textId="77777777" w:rsidR="00581ED8" w:rsidRDefault="00581ED8">
      <w:pPr>
        <w:spacing w:after="200"/>
        <w:rPr>
          <w:color w:val="000000"/>
          <w:sz w:val="22"/>
          <w:szCs w:val="22"/>
          <w:lang w:bidi="fr-FR"/>
        </w:rPr>
      </w:pPr>
      <w:r>
        <w:rPr>
          <w:color w:val="000000"/>
          <w:sz w:val="22"/>
          <w:szCs w:val="22"/>
          <w:lang w:bidi="fr-FR"/>
        </w:rPr>
        <w:br w:type="page"/>
      </w:r>
    </w:p>
    <w:tbl>
      <w:tblPr>
        <w:tblStyle w:val="TableGrid"/>
        <w:tblW w:w="0" w:type="auto"/>
        <w:tblInd w:w="-2" w:type="dxa"/>
        <w:tblLook w:val="04A0" w:firstRow="1" w:lastRow="0" w:firstColumn="1" w:lastColumn="0" w:noHBand="0" w:noVBand="1"/>
      </w:tblPr>
      <w:tblGrid>
        <w:gridCol w:w="3124"/>
        <w:gridCol w:w="6974"/>
      </w:tblGrid>
      <w:tr w:rsidR="0058164E" w:rsidRPr="00743CEC" w14:paraId="66B4ADA7" w14:textId="77777777" w:rsidTr="0058164E">
        <w:tc>
          <w:tcPr>
            <w:tcW w:w="3124" w:type="dxa"/>
          </w:tcPr>
          <w:p w14:paraId="40A2427C" w14:textId="77777777" w:rsidR="00CD75C4" w:rsidRPr="00743CEC" w:rsidRDefault="00CD75C4" w:rsidP="00C908E4">
            <w:pPr>
              <w:pStyle w:val="ListParagraph"/>
              <w:spacing w:after="0"/>
              <w:ind w:left="0"/>
              <w:rPr>
                <w:b/>
                <w:color w:val="000000"/>
                <w:sz w:val="22"/>
                <w:szCs w:val="22"/>
                <w:lang w:val="en-GB"/>
              </w:rPr>
            </w:pPr>
            <w:r w:rsidRPr="00743CEC">
              <w:rPr>
                <w:b/>
                <w:color w:val="000000"/>
                <w:sz w:val="22"/>
                <w:szCs w:val="22"/>
                <w:lang w:bidi="fr-FR"/>
              </w:rPr>
              <w:lastRenderedPageBreak/>
              <w:t>Base de référence</w:t>
            </w:r>
          </w:p>
        </w:tc>
        <w:tc>
          <w:tcPr>
            <w:tcW w:w="6974" w:type="dxa"/>
          </w:tcPr>
          <w:p w14:paraId="2BDD5FE5" w14:textId="77777777" w:rsidR="00CD75C4" w:rsidRPr="00743CEC" w:rsidRDefault="00CD75C4" w:rsidP="00C908E4">
            <w:pPr>
              <w:pStyle w:val="ListParagraph"/>
              <w:spacing w:after="0"/>
              <w:ind w:left="0"/>
              <w:rPr>
                <w:b/>
                <w:color w:val="000000"/>
                <w:sz w:val="22"/>
                <w:szCs w:val="22"/>
                <w:lang w:val="en-GB"/>
              </w:rPr>
            </w:pPr>
            <w:r w:rsidRPr="00743CEC">
              <w:rPr>
                <w:b/>
                <w:color w:val="000000"/>
                <w:sz w:val="22"/>
                <w:szCs w:val="22"/>
                <w:lang w:bidi="fr-FR"/>
              </w:rPr>
              <w:t>Deuxième cycle</w:t>
            </w:r>
          </w:p>
        </w:tc>
      </w:tr>
      <w:tr w:rsidR="0058164E" w:rsidRPr="00743CEC" w14:paraId="3FC550BE" w14:textId="77777777" w:rsidTr="0058164E">
        <w:tc>
          <w:tcPr>
            <w:tcW w:w="3124" w:type="dxa"/>
          </w:tcPr>
          <w:p w14:paraId="3C76DB3A" w14:textId="491ED4C0" w:rsidR="00CD75C4" w:rsidRPr="009C0B21" w:rsidRDefault="00CD75C4" w:rsidP="00C908E4">
            <w:pPr>
              <w:pStyle w:val="ListParagraph"/>
              <w:spacing w:after="0"/>
              <w:ind w:left="0"/>
              <w:rPr>
                <w:color w:val="000000"/>
                <w:sz w:val="22"/>
                <w:szCs w:val="22"/>
              </w:rPr>
            </w:pPr>
            <w:r w:rsidRPr="00743CEC">
              <w:rPr>
                <w:color w:val="000000"/>
                <w:sz w:val="22"/>
                <w:szCs w:val="22"/>
                <w:lang w:bidi="fr-FR"/>
              </w:rPr>
              <w:t>Questions 1.2d et 2.2f : lois et institutions infranationales respectivement, pour les pays fédér</w:t>
            </w:r>
            <w:r w:rsidR="00D90DF1">
              <w:rPr>
                <w:color w:val="000000"/>
                <w:sz w:val="22"/>
                <w:szCs w:val="22"/>
                <w:lang w:bidi="fr-FR"/>
              </w:rPr>
              <w:t>aux</w:t>
            </w:r>
            <w:r w:rsidRPr="00743CEC">
              <w:rPr>
                <w:color w:val="000000"/>
                <w:sz w:val="22"/>
                <w:szCs w:val="22"/>
                <w:lang w:bidi="fr-FR"/>
              </w:rPr>
              <w:t xml:space="preserve"> uniquement. </w:t>
            </w:r>
          </w:p>
        </w:tc>
        <w:tc>
          <w:tcPr>
            <w:tcW w:w="6974" w:type="dxa"/>
          </w:tcPr>
          <w:p w14:paraId="36C507B4" w14:textId="3ED4932E" w:rsidR="00CD75C4" w:rsidRPr="009C0B21" w:rsidRDefault="00CD75C4" w:rsidP="00C908E4">
            <w:pPr>
              <w:pStyle w:val="ListParagraph"/>
              <w:spacing w:after="0"/>
              <w:ind w:left="0"/>
              <w:rPr>
                <w:color w:val="000000"/>
                <w:sz w:val="22"/>
                <w:szCs w:val="22"/>
              </w:rPr>
            </w:pPr>
            <w:r w:rsidRPr="00743CEC">
              <w:rPr>
                <w:color w:val="000000"/>
                <w:sz w:val="22"/>
                <w:szCs w:val="22"/>
                <w:lang w:bidi="fr-FR"/>
              </w:rPr>
              <w:t xml:space="preserve">Les questions modifiées 1.2d et 2.2f s’adressent à tous les pays et prennent en compte que de nombreux pays disposent d’autorités et de réglementations infranationales, même </w:t>
            </w:r>
            <w:proofErr w:type="gramStart"/>
            <w:r w:rsidRPr="00743CEC">
              <w:rPr>
                <w:color w:val="000000"/>
                <w:sz w:val="22"/>
                <w:szCs w:val="22"/>
                <w:lang w:bidi="fr-FR"/>
              </w:rPr>
              <w:t xml:space="preserve">s’ils ne </w:t>
            </w:r>
            <w:r w:rsidR="00D90DF1">
              <w:rPr>
                <w:color w:val="000000"/>
                <w:sz w:val="22"/>
                <w:szCs w:val="22"/>
                <w:lang w:bidi="fr-FR"/>
              </w:rPr>
              <w:t>s’agit</w:t>
            </w:r>
            <w:proofErr w:type="gramEnd"/>
            <w:r w:rsidR="00D90DF1">
              <w:rPr>
                <w:color w:val="000000"/>
                <w:sz w:val="22"/>
                <w:szCs w:val="22"/>
                <w:lang w:bidi="fr-FR"/>
              </w:rPr>
              <w:t xml:space="preserve"> pas de pays fédéraux</w:t>
            </w:r>
            <w:r w:rsidRPr="00743CEC">
              <w:rPr>
                <w:color w:val="000000"/>
                <w:sz w:val="22"/>
                <w:szCs w:val="22"/>
                <w:lang w:bidi="fr-FR"/>
              </w:rPr>
              <w:t xml:space="preserve">. </w:t>
            </w:r>
          </w:p>
        </w:tc>
      </w:tr>
      <w:tr w:rsidR="0058164E" w:rsidRPr="00743CEC" w14:paraId="639EC641" w14:textId="77777777" w:rsidTr="0058164E">
        <w:trPr>
          <w:trHeight w:val="758"/>
        </w:trPr>
        <w:tc>
          <w:tcPr>
            <w:tcW w:w="3124" w:type="dxa"/>
          </w:tcPr>
          <w:p w14:paraId="0FB76663" w14:textId="77777777" w:rsidR="00CD75C4" w:rsidRPr="009C0B21" w:rsidRDefault="00CD75C4" w:rsidP="00C908E4">
            <w:pPr>
              <w:pStyle w:val="ListParagraph"/>
              <w:spacing w:after="0"/>
              <w:ind w:left="0"/>
              <w:rPr>
                <w:color w:val="000000"/>
                <w:sz w:val="22"/>
                <w:szCs w:val="22"/>
              </w:rPr>
            </w:pPr>
            <w:r w:rsidRPr="00743CEC">
              <w:rPr>
                <w:color w:val="000000"/>
                <w:sz w:val="22"/>
                <w:szCs w:val="22"/>
                <w:lang w:bidi="fr-FR"/>
              </w:rPr>
              <w:t>Questions 2.1e, 2.2c et 2.2d : prise en compte des questions de genre aux niveaux national, infranational et transfrontière.</w:t>
            </w:r>
          </w:p>
        </w:tc>
        <w:tc>
          <w:tcPr>
            <w:tcW w:w="6974" w:type="dxa"/>
          </w:tcPr>
          <w:p w14:paraId="09DFA3E2" w14:textId="77777777" w:rsidR="00CD75C4" w:rsidRPr="009C0B21" w:rsidRDefault="00CD75C4" w:rsidP="00C908E4">
            <w:pPr>
              <w:pStyle w:val="ListParagraph"/>
              <w:spacing w:after="0"/>
              <w:ind w:left="0"/>
              <w:rPr>
                <w:color w:val="000000"/>
                <w:sz w:val="22"/>
                <w:szCs w:val="22"/>
              </w:rPr>
            </w:pPr>
            <w:r w:rsidRPr="00743CEC">
              <w:rPr>
                <w:color w:val="000000"/>
                <w:sz w:val="22"/>
                <w:szCs w:val="22"/>
                <w:lang w:bidi="fr-FR"/>
              </w:rPr>
              <w:t>Ces trois questions ont été regroupées en une seule question 2.2d. Dans la base de référence, la majorité des pays inscrivaient les mêmes notes à chaque niveau, si bien que trois questions différentes n’étaient pas nécessaires. Le regroupement de ces trois questions a laissé de la place à deux nouvelles questions (voir ci-dessous).</w:t>
            </w:r>
          </w:p>
        </w:tc>
      </w:tr>
      <w:tr w:rsidR="0058164E" w:rsidRPr="00743CEC" w14:paraId="30B91035" w14:textId="77777777" w:rsidTr="0058164E">
        <w:tc>
          <w:tcPr>
            <w:tcW w:w="3124" w:type="dxa"/>
          </w:tcPr>
          <w:p w14:paraId="5D288B72" w14:textId="77777777" w:rsidR="00CD75C4" w:rsidRPr="00743CEC" w:rsidRDefault="00CD75C4" w:rsidP="00C908E4">
            <w:pPr>
              <w:pStyle w:val="ListParagraph"/>
              <w:spacing w:after="0"/>
              <w:ind w:left="0"/>
              <w:rPr>
                <w:color w:val="000000"/>
                <w:sz w:val="22"/>
                <w:szCs w:val="22"/>
                <w:lang w:val="en-GB"/>
              </w:rPr>
            </w:pPr>
            <w:r w:rsidRPr="00743CEC">
              <w:rPr>
                <w:color w:val="000000"/>
                <w:sz w:val="22"/>
                <w:szCs w:val="22"/>
                <w:lang w:bidi="fr-FR"/>
              </w:rPr>
              <w:t>-</w:t>
            </w:r>
          </w:p>
        </w:tc>
        <w:tc>
          <w:tcPr>
            <w:tcW w:w="6974" w:type="dxa"/>
          </w:tcPr>
          <w:p w14:paraId="777A7A77" w14:textId="77777777" w:rsidR="00CD75C4" w:rsidRPr="009C0B21" w:rsidRDefault="00CD75C4" w:rsidP="00C908E4">
            <w:pPr>
              <w:pStyle w:val="ListParagraph"/>
              <w:spacing w:after="0"/>
              <w:ind w:left="0"/>
              <w:rPr>
                <w:color w:val="000000"/>
                <w:sz w:val="22"/>
                <w:szCs w:val="22"/>
              </w:rPr>
            </w:pPr>
            <w:r w:rsidRPr="00743CEC">
              <w:rPr>
                <w:color w:val="000000"/>
                <w:sz w:val="22"/>
                <w:szCs w:val="22"/>
                <w:lang w:bidi="fr-FR"/>
              </w:rPr>
              <w:t>Nouvelle question 2.2d sur les groupes vulnérables. Cette question illustre un élément de la participation des parties prenantes important dans un contexte qui veut « ne laisser personne de côté », l’un des principes clés du Programme de développement durable à l’horizon 2030.</w:t>
            </w:r>
          </w:p>
        </w:tc>
      </w:tr>
      <w:tr w:rsidR="0058164E" w:rsidRPr="00743CEC" w14:paraId="14F403CE" w14:textId="77777777" w:rsidTr="0058164E">
        <w:tc>
          <w:tcPr>
            <w:tcW w:w="3124" w:type="dxa"/>
          </w:tcPr>
          <w:p w14:paraId="46AF8729" w14:textId="77777777" w:rsidR="00CD75C4" w:rsidRPr="00743CEC" w:rsidRDefault="00CD75C4" w:rsidP="00C908E4">
            <w:pPr>
              <w:pStyle w:val="ListParagraph"/>
              <w:spacing w:after="0"/>
              <w:ind w:left="0"/>
              <w:rPr>
                <w:color w:val="000000"/>
                <w:sz w:val="22"/>
                <w:szCs w:val="22"/>
                <w:lang w:val="en-GB"/>
              </w:rPr>
            </w:pPr>
            <w:r w:rsidRPr="00743CEC">
              <w:rPr>
                <w:color w:val="000000"/>
                <w:sz w:val="22"/>
                <w:szCs w:val="22"/>
                <w:lang w:bidi="fr-FR"/>
              </w:rPr>
              <w:t>-</w:t>
            </w:r>
          </w:p>
        </w:tc>
        <w:tc>
          <w:tcPr>
            <w:tcW w:w="6974" w:type="dxa"/>
          </w:tcPr>
          <w:p w14:paraId="56E11BCA" w14:textId="77777777" w:rsidR="00CD75C4" w:rsidRPr="009C0B21" w:rsidRDefault="00CD75C4" w:rsidP="00C908E4">
            <w:pPr>
              <w:pStyle w:val="ListParagraph"/>
              <w:spacing w:after="0"/>
              <w:ind w:left="0"/>
              <w:rPr>
                <w:color w:val="000000"/>
                <w:sz w:val="22"/>
                <w:szCs w:val="22"/>
              </w:rPr>
            </w:pPr>
            <w:r w:rsidRPr="00743CEC">
              <w:rPr>
                <w:color w:val="000000"/>
                <w:sz w:val="22"/>
                <w:szCs w:val="22"/>
                <w:lang w:bidi="fr-FR"/>
              </w:rPr>
              <w:t>Nouvelle question 4.2d sur les budgets infranationaux ou des bassins pour des éléments de la GIRE, prenant en compte l’importance de la disponibilité d’un financement à des niveaux plus « opérationnels ».</w:t>
            </w:r>
          </w:p>
        </w:tc>
      </w:tr>
    </w:tbl>
    <w:p w14:paraId="7042AD21" w14:textId="77777777" w:rsidR="00CD75C4" w:rsidRPr="009C0B21" w:rsidRDefault="00CD75C4" w:rsidP="006D537B">
      <w:pPr>
        <w:pStyle w:val="ListParagraph"/>
        <w:spacing w:before="120"/>
        <w:ind w:left="0"/>
        <w:contextualSpacing w:val="0"/>
        <w:jc w:val="both"/>
        <w:rPr>
          <w:color w:val="000000"/>
          <w:sz w:val="22"/>
          <w:szCs w:val="22"/>
        </w:rPr>
      </w:pPr>
      <w:r w:rsidRPr="00743CEC">
        <w:rPr>
          <w:color w:val="000000"/>
          <w:sz w:val="22"/>
          <w:szCs w:val="22"/>
          <w:lang w:bidi="fr-FR"/>
        </w:rPr>
        <w:t xml:space="preserve">Pour plus de clarté, des modifications mineures ont été apportées à certaines formulations des questions et des seuils, ainsi que dans les notes de bas de page. </w:t>
      </w:r>
    </w:p>
    <w:p w14:paraId="48F8CD23" w14:textId="7BC1FA2B" w:rsidR="00CD75C4" w:rsidRPr="009C0B21" w:rsidRDefault="00CD75C4" w:rsidP="006D537B">
      <w:pPr>
        <w:pStyle w:val="ListParagraph"/>
        <w:ind w:left="0"/>
        <w:contextualSpacing w:val="0"/>
        <w:jc w:val="both"/>
        <w:rPr>
          <w:color w:val="000000"/>
          <w:sz w:val="22"/>
          <w:szCs w:val="22"/>
        </w:rPr>
      </w:pPr>
      <w:r w:rsidRPr="00743CEC">
        <w:rPr>
          <w:color w:val="000000"/>
          <w:sz w:val="22"/>
          <w:szCs w:val="22"/>
          <w:lang w:bidi="fr-FR"/>
        </w:rPr>
        <w:t>Le champ de justification présent sous chaque question, tel qu’utilisé dans l</w:t>
      </w:r>
      <w:r w:rsidR="00E74E1C">
        <w:rPr>
          <w:color w:val="000000"/>
          <w:sz w:val="22"/>
          <w:szCs w:val="22"/>
          <w:lang w:bidi="fr-FR"/>
        </w:rPr>
        <w:t>e</w:t>
      </w:r>
      <w:r w:rsidR="00E74E1C" w:rsidRPr="00E74E1C">
        <w:rPr>
          <w:sz w:val="22"/>
          <w:szCs w:val="22"/>
          <w:lang w:bidi="fr-FR"/>
        </w:rPr>
        <w:t xml:space="preserve"> </w:t>
      </w:r>
      <w:r w:rsidR="00E74E1C">
        <w:rPr>
          <w:sz w:val="22"/>
          <w:szCs w:val="22"/>
          <w:lang w:bidi="fr-FR"/>
        </w:rPr>
        <w:t xml:space="preserve">questionnaire </w:t>
      </w:r>
      <w:r w:rsidRPr="00743CEC">
        <w:rPr>
          <w:color w:val="000000"/>
          <w:sz w:val="22"/>
          <w:szCs w:val="22"/>
          <w:lang w:bidi="fr-FR"/>
        </w:rPr>
        <w:t xml:space="preserve">d’enquête de référence, a été séparé en deux (« État d’avancement » et « Perspectives </w:t>
      </w:r>
      <w:r w:rsidR="00F07A0C">
        <w:rPr>
          <w:color w:val="000000"/>
          <w:sz w:val="22"/>
          <w:szCs w:val="22"/>
          <w:lang w:bidi="fr-FR"/>
        </w:rPr>
        <w:t>pour l</w:t>
      </w:r>
      <w:r w:rsidRPr="00743CEC">
        <w:rPr>
          <w:color w:val="000000"/>
          <w:sz w:val="22"/>
          <w:szCs w:val="22"/>
          <w:lang w:bidi="fr-FR"/>
        </w:rPr>
        <w:t>’avenir ») afin de faciliter les processus de planification nationale et la réalisation de la cible 6.5. Le remplissage de ces champs améliorera considérablement la fiabilité et l’impartialité des réponses aux questions. Il permettra également aux parties prenantes au sein du pays d’atteindre un consensus plus facilement sur chaque question, et aidera les pays à analyser les exigences requises pour atteindre le prochain seuil. Enfin, il contribuera au suivi des progrès nationaux dans le temps, et permettra une uniformisation des degrés de mise en œuvre entre les pays. Des informations sur la manière de remplir ces champs sont fournies dans la partie 1 d</w:t>
      </w:r>
      <w:r w:rsidR="00E74E1C">
        <w:rPr>
          <w:color w:val="000000"/>
          <w:sz w:val="22"/>
          <w:szCs w:val="22"/>
          <w:lang w:bidi="fr-FR"/>
        </w:rPr>
        <w:t>u</w:t>
      </w:r>
      <w:r w:rsidR="00E74E1C" w:rsidRPr="00E74E1C">
        <w:rPr>
          <w:sz w:val="22"/>
          <w:szCs w:val="22"/>
          <w:lang w:bidi="fr-FR"/>
        </w:rPr>
        <w:t xml:space="preserve"> </w:t>
      </w:r>
      <w:r w:rsidR="00E74E1C">
        <w:rPr>
          <w:sz w:val="22"/>
          <w:szCs w:val="22"/>
          <w:lang w:bidi="fr-FR"/>
        </w:rPr>
        <w:t>questionnaire</w:t>
      </w:r>
      <w:r w:rsidR="00E74E1C" w:rsidRPr="00743CEC">
        <w:rPr>
          <w:color w:val="000000"/>
          <w:sz w:val="22"/>
          <w:szCs w:val="22"/>
          <w:lang w:bidi="fr-FR"/>
        </w:rPr>
        <w:t xml:space="preserve"> </w:t>
      </w:r>
      <w:r w:rsidRPr="00743CEC">
        <w:rPr>
          <w:color w:val="000000"/>
          <w:sz w:val="22"/>
          <w:szCs w:val="22"/>
          <w:lang w:bidi="fr-FR"/>
        </w:rPr>
        <w:t>d’enquête.</w:t>
      </w:r>
    </w:p>
    <w:p w14:paraId="0BE2A530" w14:textId="39693844" w:rsidR="00CD75C4" w:rsidRPr="009C0B21" w:rsidRDefault="00CD75C4" w:rsidP="006D537B">
      <w:pPr>
        <w:pStyle w:val="ListParagraph"/>
        <w:ind w:left="0"/>
        <w:contextualSpacing w:val="0"/>
        <w:jc w:val="both"/>
        <w:rPr>
          <w:color w:val="000000"/>
          <w:sz w:val="22"/>
          <w:szCs w:val="22"/>
        </w:rPr>
      </w:pPr>
      <w:r w:rsidRPr="00743CEC">
        <w:rPr>
          <w:color w:val="000000"/>
          <w:sz w:val="22"/>
          <w:szCs w:val="22"/>
          <w:lang w:bidi="fr-FR"/>
        </w:rPr>
        <w:t xml:space="preserve">Les éléments suivants ont été révisés ou ajoutés </w:t>
      </w:r>
      <w:r w:rsidR="00E74E1C">
        <w:rPr>
          <w:color w:val="000000"/>
          <w:sz w:val="22"/>
          <w:szCs w:val="22"/>
          <w:lang w:bidi="fr-FR"/>
        </w:rPr>
        <w:t>au</w:t>
      </w:r>
      <w:r w:rsidR="00E74E1C" w:rsidRPr="00E74E1C">
        <w:rPr>
          <w:sz w:val="22"/>
          <w:szCs w:val="22"/>
          <w:lang w:bidi="fr-FR"/>
        </w:rPr>
        <w:t xml:space="preserve"> </w:t>
      </w:r>
      <w:r w:rsidR="00E74E1C">
        <w:rPr>
          <w:sz w:val="22"/>
          <w:szCs w:val="22"/>
          <w:lang w:bidi="fr-FR"/>
        </w:rPr>
        <w:t>questionnaire</w:t>
      </w:r>
      <w:r w:rsidR="00E74E1C" w:rsidRPr="00743CEC" w:rsidDel="00E74E1C">
        <w:rPr>
          <w:color w:val="000000"/>
          <w:sz w:val="22"/>
          <w:szCs w:val="22"/>
          <w:lang w:bidi="fr-FR"/>
        </w:rPr>
        <w:t xml:space="preserve"> </w:t>
      </w:r>
      <w:r w:rsidRPr="00743CEC">
        <w:rPr>
          <w:color w:val="000000"/>
          <w:sz w:val="22"/>
          <w:szCs w:val="22"/>
          <w:lang w:bidi="fr-FR"/>
        </w:rPr>
        <w:t>d’enquête :</w:t>
      </w:r>
    </w:p>
    <w:p w14:paraId="10E7E461" w14:textId="07BE5DA0" w:rsidR="00CD75C4" w:rsidRPr="009C0B21" w:rsidRDefault="00CD75C4" w:rsidP="00686C89">
      <w:pPr>
        <w:pStyle w:val="ListParagraph"/>
        <w:numPr>
          <w:ilvl w:val="0"/>
          <w:numId w:val="17"/>
        </w:numPr>
        <w:ind w:left="851"/>
        <w:rPr>
          <w:color w:val="000000"/>
          <w:sz w:val="22"/>
          <w:szCs w:val="22"/>
        </w:rPr>
      </w:pPr>
      <w:r w:rsidRPr="00743CEC">
        <w:rPr>
          <w:color w:val="000000"/>
          <w:sz w:val="22"/>
          <w:szCs w:val="22"/>
          <w:lang w:bidi="fr-FR"/>
        </w:rPr>
        <w:t xml:space="preserve">Formulaire de dépôt (première page) et liste de vérification de la qualité (à la suite de la section 5). Ces outils visent à améliorer la transparence et la fiabilité, et à réduire le nombre d’échanges entre le PNUE et le </w:t>
      </w:r>
      <w:r w:rsidR="00E74E1C">
        <w:rPr>
          <w:sz w:val="22"/>
          <w:szCs w:val="22"/>
          <w:lang w:bidi="fr-FR"/>
        </w:rPr>
        <w:t>point focal</w:t>
      </w:r>
      <w:r w:rsidRPr="00743CEC">
        <w:rPr>
          <w:color w:val="000000"/>
          <w:sz w:val="22"/>
          <w:szCs w:val="22"/>
          <w:lang w:bidi="fr-FR"/>
        </w:rPr>
        <w:t xml:space="preserve"> en matière d’assurance qualité. Ils sont faits pour être remplis rapidement par </w:t>
      </w:r>
      <w:r w:rsidR="00E74E1C">
        <w:rPr>
          <w:color w:val="000000"/>
          <w:sz w:val="22"/>
          <w:szCs w:val="22"/>
          <w:lang w:bidi="fr-FR"/>
        </w:rPr>
        <w:t>ce dernier</w:t>
      </w:r>
      <w:r w:rsidRPr="00743CEC">
        <w:rPr>
          <w:color w:val="000000"/>
          <w:sz w:val="22"/>
          <w:szCs w:val="22"/>
          <w:lang w:bidi="fr-FR"/>
        </w:rPr>
        <w:t xml:space="preserve">. </w:t>
      </w:r>
    </w:p>
    <w:p w14:paraId="2B310AB9" w14:textId="77777777" w:rsidR="00CD75C4" w:rsidRPr="009C0B21" w:rsidRDefault="00CD75C4" w:rsidP="00686C89">
      <w:pPr>
        <w:pStyle w:val="ListParagraph"/>
        <w:numPr>
          <w:ilvl w:val="0"/>
          <w:numId w:val="17"/>
        </w:numPr>
        <w:ind w:left="851"/>
        <w:rPr>
          <w:color w:val="000000"/>
          <w:sz w:val="22"/>
          <w:szCs w:val="22"/>
        </w:rPr>
      </w:pPr>
      <w:r w:rsidRPr="00743CEC">
        <w:rPr>
          <w:color w:val="000000"/>
          <w:sz w:val="22"/>
          <w:szCs w:val="22"/>
          <w:lang w:bidi="fr-FR"/>
        </w:rPr>
        <w:t xml:space="preserve">Annexe A – Glossaire. Le glossaire a été déplacé de la section d’introduction à l’annexe A. </w:t>
      </w:r>
    </w:p>
    <w:p w14:paraId="13751880" w14:textId="77777777" w:rsidR="00CD75C4" w:rsidRPr="009C0B21" w:rsidRDefault="00CD75C4" w:rsidP="00686C89">
      <w:pPr>
        <w:pStyle w:val="ListParagraph"/>
        <w:numPr>
          <w:ilvl w:val="0"/>
          <w:numId w:val="17"/>
        </w:numPr>
        <w:ind w:left="851"/>
        <w:rPr>
          <w:color w:val="000000"/>
          <w:sz w:val="22"/>
          <w:szCs w:val="22"/>
        </w:rPr>
      </w:pPr>
      <w:r w:rsidRPr="00743CEC">
        <w:rPr>
          <w:color w:val="000000"/>
          <w:sz w:val="22"/>
          <w:szCs w:val="22"/>
          <w:lang w:bidi="fr-FR"/>
        </w:rPr>
        <w:t xml:space="preserve">Annexe B – Niveau transfrontière. Cette section a été déplacée de la section d’introduction à l’annexe B. Le texte et le tableau ont été modifiés pour plus de clarté et de transparence. </w:t>
      </w:r>
    </w:p>
    <w:p w14:paraId="0E39B04F" w14:textId="77777777" w:rsidR="00CD75C4" w:rsidRPr="009C0B21" w:rsidRDefault="00CD75C4" w:rsidP="00686C89">
      <w:pPr>
        <w:pStyle w:val="ListParagraph"/>
        <w:numPr>
          <w:ilvl w:val="0"/>
          <w:numId w:val="17"/>
        </w:numPr>
        <w:ind w:left="851"/>
        <w:rPr>
          <w:color w:val="000000"/>
          <w:sz w:val="22"/>
          <w:szCs w:val="22"/>
        </w:rPr>
      </w:pPr>
      <w:r w:rsidRPr="00743CEC">
        <w:rPr>
          <w:color w:val="000000"/>
          <w:sz w:val="22"/>
          <w:szCs w:val="22"/>
          <w:lang w:bidi="fr-FR"/>
        </w:rPr>
        <w:t xml:space="preserve">Annexe C – Obstacles, catalyseurs et prochaines étapes de la mise en œuvre de la GIRE. Cette annexe est inédite et s’appuie sur les éléments que de nombreux pays ont trouvés utiles lors des travaux en ateliers qui se sont tenus durant la période de communication des données de référence. Elle aide les pays à repérer les principales difficultés et les prochaines étapes de la mise en œuvre de la GIRE, et peut être utilisée comme ressource pour les processus de planification nationale. </w:t>
      </w:r>
    </w:p>
    <w:p w14:paraId="562D76F4" w14:textId="361952CD" w:rsidR="00CD75C4" w:rsidRPr="009C0B21" w:rsidRDefault="00CD75C4" w:rsidP="00686C89">
      <w:pPr>
        <w:pStyle w:val="ListParagraph"/>
        <w:numPr>
          <w:ilvl w:val="0"/>
          <w:numId w:val="17"/>
        </w:numPr>
        <w:ind w:left="851"/>
        <w:rPr>
          <w:color w:val="000000"/>
          <w:sz w:val="22"/>
          <w:szCs w:val="22"/>
        </w:rPr>
      </w:pPr>
      <w:r w:rsidRPr="00743CEC">
        <w:rPr>
          <w:sz w:val="22"/>
          <w:szCs w:val="22"/>
          <w:lang w:bidi="fr-FR"/>
        </w:rPr>
        <w:t xml:space="preserve">Annexe D – Difficultés prioritaires en matière de ressources en eau. Cette nouvelle annexe comprend une liste de vérification simple qui complète les aspects de gestion de l’eau inclus dans le principal </w:t>
      </w:r>
      <w:r w:rsidR="00E74E1C">
        <w:rPr>
          <w:sz w:val="22"/>
          <w:szCs w:val="22"/>
          <w:lang w:bidi="fr-FR"/>
        </w:rPr>
        <w:lastRenderedPageBreak/>
        <w:t>questionnaire</w:t>
      </w:r>
      <w:r w:rsidR="00E74E1C" w:rsidRPr="00743CEC" w:rsidDel="00E74E1C">
        <w:rPr>
          <w:sz w:val="22"/>
          <w:szCs w:val="22"/>
          <w:lang w:bidi="fr-FR"/>
        </w:rPr>
        <w:t xml:space="preserve"> </w:t>
      </w:r>
      <w:r w:rsidRPr="00743CEC">
        <w:rPr>
          <w:sz w:val="22"/>
          <w:szCs w:val="22"/>
          <w:lang w:bidi="fr-FR"/>
        </w:rPr>
        <w:t xml:space="preserve">d’enquête, mais qui n’aura pas d’incidence sur la note globale de l’indicateur. Elle peut servir aux pays lors d’échanges et des processus de planification avec les parties prenantes. Au fil du temps, elle peut également les aider à évaluer si la mise en œuvre de la GIRE peut participer à la réduction des difficultés liées aux différents problèmes en matière de ressources en eau. Elle repose sur des comptes rendus similaires de 2011, disponibles </w:t>
      </w:r>
      <w:hyperlink r:id="rId18" w:history="1">
        <w:r w:rsidRPr="006E3660">
          <w:rPr>
            <w:rStyle w:val="Hyperlink"/>
            <w:sz w:val="22"/>
            <w:szCs w:val="22"/>
            <w:lang w:bidi="fr-FR"/>
          </w:rPr>
          <w:t>ici</w:t>
        </w:r>
      </w:hyperlink>
      <w:r w:rsidRPr="00743CEC">
        <w:rPr>
          <w:sz w:val="22"/>
          <w:szCs w:val="22"/>
          <w:lang w:bidi="fr-FR"/>
        </w:rPr>
        <w:t xml:space="preserve">. </w:t>
      </w:r>
    </w:p>
    <w:p w14:paraId="0AAADBB5" w14:textId="77777777" w:rsidR="00A6693B" w:rsidRPr="009C0B21" w:rsidRDefault="00CD75C4" w:rsidP="00686C89">
      <w:pPr>
        <w:pStyle w:val="ListParagraph"/>
        <w:numPr>
          <w:ilvl w:val="0"/>
          <w:numId w:val="17"/>
        </w:numPr>
        <w:ind w:left="851"/>
        <w:rPr>
          <w:color w:val="000000"/>
          <w:sz w:val="22"/>
          <w:szCs w:val="22"/>
        </w:rPr>
      </w:pPr>
      <w:r w:rsidRPr="00743CEC">
        <w:rPr>
          <w:sz w:val="22"/>
          <w:szCs w:val="22"/>
          <w:lang w:bidi="fr-FR"/>
        </w:rPr>
        <w:t xml:space="preserve">Annexe E – Formulaire de processus d’élaboration de comptes rendus relatifs à l’indicateur 6.5.1. Cette nouvelle annexe a été conçue d’après le formulaire de dépôt (première page). Elle est fondée sur les retours d’information et les expériences tirées du cycle de communication des données de référence. Elle vise à améliorer considérablement la transparence du processus et ainsi accroître la fiabilité des résultats aux niveaux régional, national et mondial. </w:t>
      </w:r>
    </w:p>
    <w:p w14:paraId="29394795" w14:textId="348D1FE8" w:rsidR="00CD75C4" w:rsidRPr="009C0B21" w:rsidRDefault="00A6693B" w:rsidP="006D537B">
      <w:pPr>
        <w:jc w:val="both"/>
        <w:rPr>
          <w:color w:val="000000"/>
          <w:sz w:val="22"/>
          <w:szCs w:val="22"/>
        </w:rPr>
      </w:pPr>
      <w:r w:rsidRPr="00A6693B">
        <w:rPr>
          <w:sz w:val="22"/>
          <w:szCs w:val="22"/>
          <w:lang w:bidi="fr-FR"/>
        </w:rPr>
        <w:t xml:space="preserve">Il est admis que les pays </w:t>
      </w:r>
      <w:r w:rsidR="00D90DF1" w:rsidRPr="00A6693B">
        <w:rPr>
          <w:sz w:val="22"/>
          <w:szCs w:val="22"/>
          <w:lang w:bidi="fr-FR"/>
        </w:rPr>
        <w:t>fédér</w:t>
      </w:r>
      <w:r w:rsidR="00D90DF1">
        <w:rPr>
          <w:sz w:val="22"/>
          <w:szCs w:val="22"/>
          <w:lang w:bidi="fr-FR"/>
        </w:rPr>
        <w:t>aux</w:t>
      </w:r>
      <w:r w:rsidR="00D90DF1" w:rsidRPr="00A6693B">
        <w:rPr>
          <w:sz w:val="22"/>
          <w:szCs w:val="22"/>
          <w:lang w:bidi="fr-FR"/>
        </w:rPr>
        <w:t xml:space="preserve"> </w:t>
      </w:r>
      <w:r w:rsidRPr="00A6693B">
        <w:rPr>
          <w:sz w:val="22"/>
          <w:szCs w:val="22"/>
          <w:lang w:bidi="fr-FR"/>
        </w:rPr>
        <w:t>ou les pays dont une part importante de la responsabilité de la gestion des ressources en eau revient aux autorités infranationales peuvent rencontrer des difficultés supplémentaires lors de la réponse aux questions. Lors de la communication des données de référence, 23 pays fédér</w:t>
      </w:r>
      <w:r w:rsidR="00D90DF1">
        <w:rPr>
          <w:sz w:val="22"/>
          <w:szCs w:val="22"/>
          <w:lang w:bidi="fr-FR"/>
        </w:rPr>
        <w:t>aux</w:t>
      </w:r>
      <w:r w:rsidRPr="00A6693B">
        <w:rPr>
          <w:sz w:val="22"/>
          <w:szCs w:val="22"/>
          <w:lang w:bidi="fr-FR"/>
        </w:rPr>
        <w:t xml:space="preserve"> sur 27 ont répondu au questionnaire, ce qui montre la faisabilité de cette approche. Les pays sont encouragés à décrire brièvement à l’annexe C leur niveau de décentralisation de la gestion des ressources en eau, ainsi que les difficultés et les possibilités que cela engendre. Les pays fédér</w:t>
      </w:r>
      <w:r w:rsidR="00D90DF1">
        <w:rPr>
          <w:sz w:val="22"/>
          <w:szCs w:val="22"/>
          <w:lang w:bidi="fr-FR"/>
        </w:rPr>
        <w:t>aux</w:t>
      </w:r>
      <w:r w:rsidRPr="00A6693B">
        <w:rPr>
          <w:sz w:val="22"/>
          <w:szCs w:val="22"/>
          <w:lang w:bidi="fr-FR"/>
        </w:rPr>
        <w:t xml:space="preserve"> préoccupés par la manière dont répondre à certains aspects d</w:t>
      </w:r>
      <w:r w:rsidR="00E74E1C">
        <w:rPr>
          <w:sz w:val="22"/>
          <w:szCs w:val="22"/>
          <w:lang w:bidi="fr-FR"/>
        </w:rPr>
        <w:t>u</w:t>
      </w:r>
      <w:r w:rsidR="00E74E1C" w:rsidRPr="00E74E1C">
        <w:rPr>
          <w:sz w:val="22"/>
          <w:szCs w:val="22"/>
          <w:lang w:bidi="fr-FR"/>
        </w:rPr>
        <w:t xml:space="preserve"> </w:t>
      </w:r>
      <w:r w:rsidR="00E74E1C">
        <w:rPr>
          <w:sz w:val="22"/>
          <w:szCs w:val="22"/>
          <w:lang w:bidi="fr-FR"/>
        </w:rPr>
        <w:t>questionnaire</w:t>
      </w:r>
      <w:r w:rsidR="00E74E1C" w:rsidRPr="00A6693B">
        <w:rPr>
          <w:sz w:val="22"/>
          <w:szCs w:val="22"/>
          <w:lang w:bidi="fr-FR"/>
        </w:rPr>
        <w:t xml:space="preserve"> </w:t>
      </w:r>
      <w:r w:rsidRPr="00A6693B">
        <w:rPr>
          <w:sz w:val="22"/>
          <w:szCs w:val="22"/>
          <w:lang w:bidi="fr-FR"/>
        </w:rPr>
        <w:t>d’enquête sont invités à contacter le service d’assistance relatif à l’indicateur 6.5.1 dès que possible.</w:t>
      </w:r>
    </w:p>
    <w:p w14:paraId="50E32573" w14:textId="72F7BDBE" w:rsidR="00F8146D" w:rsidRPr="005B629E" w:rsidRDefault="00F8146D" w:rsidP="00F8146D">
      <w:pPr>
        <w:pStyle w:val="Heading1"/>
      </w:pPr>
      <w:r w:rsidRPr="005B629E">
        <w:rPr>
          <w:lang w:val="fr-FR" w:bidi="fr-FR"/>
        </w:rPr>
        <w:t>Transmission et service d’assistance</w:t>
      </w:r>
    </w:p>
    <w:p w14:paraId="35208412" w14:textId="28E9F84C" w:rsidR="00F8146D" w:rsidRPr="00743CEC" w:rsidRDefault="00F8146D" w:rsidP="006D537B">
      <w:pPr>
        <w:jc w:val="both"/>
        <w:rPr>
          <w:rFonts w:eastAsia="Times New Roman" w:cs="Times New Roman"/>
          <w:sz w:val="22"/>
          <w:szCs w:val="22"/>
        </w:rPr>
      </w:pPr>
      <w:r w:rsidRPr="00743CEC">
        <w:rPr>
          <w:rFonts w:eastAsia="Times New Roman" w:cs="Times New Roman"/>
          <w:sz w:val="22"/>
          <w:szCs w:val="22"/>
          <w:lang w:bidi="fr-FR"/>
        </w:rPr>
        <w:t xml:space="preserve">Le </w:t>
      </w:r>
      <w:r w:rsidR="00E74E1C">
        <w:rPr>
          <w:rFonts w:eastAsia="Times New Roman" w:cs="Times New Roman"/>
          <w:sz w:val="22"/>
          <w:szCs w:val="22"/>
          <w:lang w:bidi="fr-FR"/>
        </w:rPr>
        <w:t>point focal</w:t>
      </w:r>
      <w:r w:rsidR="00E74E1C" w:rsidRPr="00743CEC">
        <w:rPr>
          <w:rFonts w:eastAsia="Times New Roman" w:cs="Times New Roman"/>
          <w:sz w:val="22"/>
          <w:szCs w:val="22"/>
          <w:lang w:bidi="fr-FR"/>
        </w:rPr>
        <w:t xml:space="preserve"> </w:t>
      </w:r>
      <w:r w:rsidRPr="00743CEC">
        <w:rPr>
          <w:rFonts w:eastAsia="Times New Roman" w:cs="Times New Roman"/>
          <w:sz w:val="22"/>
          <w:szCs w:val="22"/>
          <w:lang w:bidi="fr-FR"/>
        </w:rPr>
        <w:t xml:space="preserve">en matière de GIRE est chargé de soumettre un </w:t>
      </w:r>
      <w:r w:rsidR="00E74E1C">
        <w:rPr>
          <w:sz w:val="22"/>
          <w:szCs w:val="22"/>
          <w:lang w:bidi="fr-FR"/>
        </w:rPr>
        <w:t>questionnaire</w:t>
      </w:r>
      <w:r w:rsidR="00E74E1C" w:rsidRPr="00743CEC" w:rsidDel="00E74E1C">
        <w:rPr>
          <w:rFonts w:eastAsia="Times New Roman" w:cs="Times New Roman"/>
          <w:sz w:val="22"/>
          <w:szCs w:val="22"/>
          <w:lang w:bidi="fr-FR"/>
        </w:rPr>
        <w:t xml:space="preserve"> </w:t>
      </w:r>
      <w:r w:rsidRPr="00743CEC">
        <w:rPr>
          <w:rFonts w:eastAsia="Times New Roman" w:cs="Times New Roman"/>
          <w:sz w:val="22"/>
          <w:szCs w:val="22"/>
          <w:lang w:bidi="fr-FR"/>
        </w:rPr>
        <w:t xml:space="preserve">d’enquête unique, final, complet et approuvé au service d’assistance du PNUE à l’adresse suivante : </w:t>
      </w:r>
      <w:hyperlink r:id="rId19" w:history="1">
        <w:r w:rsidR="007926DA" w:rsidRPr="0066393D">
          <w:rPr>
            <w:rStyle w:val="Hyperlink"/>
            <w:rFonts w:eastAsia="Times New Roman" w:cs="Times New Roman"/>
            <w:sz w:val="22"/>
            <w:szCs w:val="22"/>
            <w:lang w:bidi="fr-FR"/>
          </w:rPr>
          <w:t>iwrmsdg651@un.org</w:t>
        </w:r>
      </w:hyperlink>
      <w:r w:rsidRPr="00743CEC">
        <w:rPr>
          <w:rFonts w:eastAsia="Times New Roman" w:cs="Times New Roman"/>
          <w:sz w:val="22"/>
          <w:szCs w:val="22"/>
          <w:lang w:bidi="fr-FR"/>
        </w:rPr>
        <w:t>. Il est possible d’envoyer une ébauche d</w:t>
      </w:r>
      <w:r w:rsidR="00E74E1C">
        <w:rPr>
          <w:rFonts w:eastAsia="Times New Roman" w:cs="Times New Roman"/>
          <w:sz w:val="22"/>
          <w:szCs w:val="22"/>
          <w:lang w:bidi="fr-FR"/>
        </w:rPr>
        <w:t>u</w:t>
      </w:r>
      <w:r w:rsidR="00E74E1C" w:rsidRPr="00E74E1C">
        <w:rPr>
          <w:sz w:val="22"/>
          <w:szCs w:val="22"/>
          <w:lang w:bidi="fr-FR"/>
        </w:rPr>
        <w:t xml:space="preserve"> </w:t>
      </w:r>
      <w:r w:rsidR="00E74E1C">
        <w:rPr>
          <w:sz w:val="22"/>
          <w:szCs w:val="22"/>
          <w:lang w:bidi="fr-FR"/>
        </w:rPr>
        <w:t>questionnaire</w:t>
      </w:r>
      <w:r w:rsidR="00E74E1C" w:rsidRPr="00743CEC">
        <w:rPr>
          <w:rFonts w:eastAsia="Times New Roman" w:cs="Times New Roman"/>
          <w:sz w:val="22"/>
          <w:szCs w:val="22"/>
          <w:lang w:bidi="fr-FR"/>
        </w:rPr>
        <w:t xml:space="preserve"> </w:t>
      </w:r>
      <w:r w:rsidRPr="00743CEC">
        <w:rPr>
          <w:rFonts w:eastAsia="Times New Roman" w:cs="Times New Roman"/>
          <w:sz w:val="22"/>
          <w:szCs w:val="22"/>
          <w:lang w:bidi="fr-FR"/>
        </w:rPr>
        <w:t>d’enquête au PNUE afin de recevoir un retour d’information avant l’envoi officiel.</w:t>
      </w:r>
    </w:p>
    <w:p w14:paraId="72B49369" w14:textId="6D140D7C" w:rsidR="009544C5" w:rsidRPr="00743CEC" w:rsidRDefault="009544C5" w:rsidP="006D537B">
      <w:pPr>
        <w:jc w:val="both"/>
        <w:rPr>
          <w:sz w:val="22"/>
          <w:szCs w:val="22"/>
        </w:rPr>
      </w:pPr>
      <w:r w:rsidRPr="00743CEC">
        <w:rPr>
          <w:sz w:val="22"/>
          <w:szCs w:val="22"/>
          <w:lang w:bidi="fr-FR"/>
        </w:rPr>
        <w:t xml:space="preserve">Sur demande, le service d’assistance apportera son soutien aux </w:t>
      </w:r>
      <w:r w:rsidR="00E74E1C">
        <w:rPr>
          <w:sz w:val="22"/>
          <w:szCs w:val="22"/>
          <w:lang w:bidi="fr-FR"/>
        </w:rPr>
        <w:t>points focaux</w:t>
      </w:r>
      <w:r w:rsidR="00E74E1C" w:rsidRPr="00743CEC">
        <w:rPr>
          <w:sz w:val="22"/>
          <w:szCs w:val="22"/>
          <w:lang w:bidi="fr-FR"/>
        </w:rPr>
        <w:t xml:space="preserve"> </w:t>
      </w:r>
      <w:r w:rsidRPr="00743CEC">
        <w:rPr>
          <w:sz w:val="22"/>
          <w:szCs w:val="22"/>
          <w:lang w:bidi="fr-FR"/>
        </w:rPr>
        <w:t xml:space="preserve">nationaux sur des sujets tels que l’interprétation des questions et des seuils, le niveau approprié d’implication des parties prenantes dans les pays, ainsi que pour la transmission de la note finale de l’indicateur. </w:t>
      </w:r>
      <w:r w:rsidRPr="00454009">
        <w:rPr>
          <w:rFonts w:eastAsia="Times New Roman" w:cs="Times New Roman"/>
          <w:sz w:val="22"/>
          <w:szCs w:val="22"/>
          <w:lang w:bidi="fr-FR"/>
        </w:rPr>
        <w:t xml:space="preserve">Un tableur simplifié sera également mis à la disposition des </w:t>
      </w:r>
      <w:r w:rsidR="00E74E1C">
        <w:rPr>
          <w:sz w:val="22"/>
          <w:szCs w:val="22"/>
          <w:lang w:bidi="fr-FR"/>
        </w:rPr>
        <w:t>points focaux</w:t>
      </w:r>
      <w:r w:rsidR="00E74E1C" w:rsidRPr="00454009" w:rsidDel="00E74E1C">
        <w:rPr>
          <w:rFonts w:eastAsia="Times New Roman" w:cs="Times New Roman"/>
          <w:sz w:val="22"/>
          <w:szCs w:val="22"/>
          <w:lang w:bidi="fr-FR"/>
        </w:rPr>
        <w:t xml:space="preserve"> </w:t>
      </w:r>
      <w:r w:rsidRPr="00454009">
        <w:rPr>
          <w:rFonts w:eastAsia="Times New Roman" w:cs="Times New Roman"/>
          <w:sz w:val="22"/>
          <w:szCs w:val="22"/>
          <w:lang w:bidi="fr-FR"/>
        </w:rPr>
        <w:t>afin de les aider dans le calcul des moyennes de section et de la note globale.</w:t>
      </w:r>
    </w:p>
    <w:p w14:paraId="3B777178" w14:textId="584837A9" w:rsidR="00F8146D" w:rsidRPr="00743CEC" w:rsidRDefault="00F8146D" w:rsidP="006D537B">
      <w:pPr>
        <w:jc w:val="both"/>
        <w:rPr>
          <w:rFonts w:eastAsia="Times New Roman" w:cs="Times New Roman"/>
          <w:sz w:val="22"/>
          <w:szCs w:val="22"/>
        </w:rPr>
      </w:pPr>
      <w:r w:rsidRPr="00743CEC">
        <w:rPr>
          <w:rFonts w:eastAsia="Times New Roman" w:cs="Times New Roman"/>
          <w:sz w:val="22"/>
          <w:szCs w:val="22"/>
          <w:lang w:bidi="fr-FR"/>
        </w:rPr>
        <w:t>Il incombe également au PNUE :</w:t>
      </w:r>
    </w:p>
    <w:p w14:paraId="7048D4A5" w14:textId="77777777" w:rsidR="00F8146D" w:rsidRPr="00743CEC" w:rsidRDefault="00F8146D" w:rsidP="00F8146D">
      <w:pPr>
        <w:pStyle w:val="ListParagraph"/>
        <w:numPr>
          <w:ilvl w:val="1"/>
          <w:numId w:val="6"/>
        </w:numPr>
        <w:jc w:val="both"/>
        <w:rPr>
          <w:rFonts w:eastAsia="Times New Roman" w:cs="Times New Roman"/>
          <w:sz w:val="22"/>
          <w:szCs w:val="22"/>
        </w:rPr>
      </w:pPr>
      <w:proofErr w:type="gramStart"/>
      <w:r w:rsidRPr="00743CEC">
        <w:rPr>
          <w:rFonts w:eastAsia="Times New Roman" w:cs="Times New Roman"/>
          <w:sz w:val="22"/>
          <w:szCs w:val="22"/>
          <w:lang w:bidi="fr-FR"/>
        </w:rPr>
        <w:t>d’aider</w:t>
      </w:r>
      <w:proofErr w:type="gramEnd"/>
      <w:r w:rsidRPr="00743CEC">
        <w:rPr>
          <w:rFonts w:eastAsia="Times New Roman" w:cs="Times New Roman"/>
          <w:sz w:val="22"/>
          <w:szCs w:val="22"/>
          <w:lang w:bidi="fr-FR"/>
        </w:rPr>
        <w:t xml:space="preserve"> les pays pour toute vérification nécessaire de la qualité ;</w:t>
      </w:r>
    </w:p>
    <w:p w14:paraId="553B0357" w14:textId="658C2888" w:rsidR="009700C8" w:rsidRPr="00743CEC" w:rsidRDefault="00F8146D" w:rsidP="00F8146D">
      <w:pPr>
        <w:pStyle w:val="ListParagraph"/>
        <w:numPr>
          <w:ilvl w:val="1"/>
          <w:numId w:val="6"/>
        </w:numPr>
        <w:jc w:val="both"/>
        <w:rPr>
          <w:rFonts w:eastAsia="Times New Roman" w:cs="Times New Roman"/>
          <w:sz w:val="22"/>
          <w:szCs w:val="22"/>
        </w:rPr>
      </w:pPr>
      <w:proofErr w:type="gramStart"/>
      <w:r w:rsidRPr="00743CEC">
        <w:rPr>
          <w:rFonts w:eastAsia="Times New Roman" w:cs="Times New Roman"/>
          <w:sz w:val="22"/>
          <w:szCs w:val="22"/>
          <w:lang w:bidi="fr-FR"/>
        </w:rPr>
        <w:t>de</w:t>
      </w:r>
      <w:proofErr w:type="gramEnd"/>
      <w:r w:rsidRPr="00743CEC">
        <w:rPr>
          <w:rFonts w:eastAsia="Times New Roman" w:cs="Times New Roman"/>
          <w:sz w:val="22"/>
          <w:szCs w:val="22"/>
          <w:lang w:bidi="fr-FR"/>
        </w:rPr>
        <w:t xml:space="preserve"> rendre compte des données à la Division de statistique de l’ONU ;</w:t>
      </w:r>
    </w:p>
    <w:p w14:paraId="338E1441" w14:textId="3787BC47" w:rsidR="00FA13E0" w:rsidRPr="00743CEC" w:rsidRDefault="009544C5" w:rsidP="0058462A">
      <w:pPr>
        <w:pStyle w:val="ListParagraph"/>
        <w:numPr>
          <w:ilvl w:val="1"/>
          <w:numId w:val="6"/>
        </w:numPr>
        <w:jc w:val="both"/>
      </w:pPr>
      <w:proofErr w:type="gramStart"/>
      <w:r w:rsidRPr="0058462A">
        <w:rPr>
          <w:rFonts w:eastAsia="Times New Roman" w:cs="Times New Roman"/>
          <w:sz w:val="22"/>
          <w:szCs w:val="22"/>
          <w:lang w:bidi="fr-FR"/>
        </w:rPr>
        <w:t>de</w:t>
      </w:r>
      <w:proofErr w:type="gramEnd"/>
      <w:r w:rsidRPr="0058462A">
        <w:rPr>
          <w:rFonts w:eastAsia="Times New Roman" w:cs="Times New Roman"/>
          <w:sz w:val="22"/>
          <w:szCs w:val="22"/>
          <w:lang w:bidi="fr-FR"/>
        </w:rPr>
        <w:t xml:space="preserve"> partager les résultats par le biais d’un site Internet et de préparer un rapport sur l’état d’avancement au niveau mondial. Les rapports de référence aux niveaux mondial et national peuvent être téléchargés </w:t>
      </w:r>
      <w:hyperlink r:id="rId20" w:history="1">
        <w:r w:rsidR="00F8146D" w:rsidRPr="009700C8">
          <w:rPr>
            <w:rStyle w:val="Hyperlink"/>
            <w:rFonts w:eastAsia="Times New Roman" w:cs="Times New Roman"/>
            <w:sz w:val="22"/>
            <w:szCs w:val="22"/>
            <w:lang w:bidi="fr-FR"/>
          </w:rPr>
          <w:t>ici</w:t>
        </w:r>
      </w:hyperlink>
      <w:bookmarkStart w:id="1" w:name="_GoBack"/>
      <w:bookmarkEnd w:id="1"/>
      <w:r w:rsidRPr="0058462A">
        <w:rPr>
          <w:rFonts w:eastAsia="Times New Roman" w:cs="Times New Roman"/>
          <w:sz w:val="22"/>
          <w:szCs w:val="22"/>
          <w:lang w:bidi="fr-FR"/>
        </w:rPr>
        <w:t xml:space="preserve">.  </w:t>
      </w:r>
    </w:p>
    <w:sectPr w:rsidR="00FA13E0" w:rsidRPr="00743CEC" w:rsidSect="00CF60D3">
      <w:footerReference w:type="even" r:id="rId21"/>
      <w:footerReference w:type="default" r:id="rId22"/>
      <w:pgSz w:w="12240" w:h="15840" w:code="1"/>
      <w:pgMar w:top="1440" w:right="1008" w:bottom="1440" w:left="1008" w:header="576"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551AC9" w14:textId="77777777" w:rsidR="007576B4" w:rsidRDefault="007576B4" w:rsidP="00334405">
      <w:pPr>
        <w:spacing w:after="0" w:line="240" w:lineRule="auto"/>
      </w:pPr>
      <w:r>
        <w:separator/>
      </w:r>
    </w:p>
  </w:endnote>
  <w:endnote w:type="continuationSeparator" w:id="0">
    <w:p w14:paraId="0040CD5B" w14:textId="77777777" w:rsidR="007576B4" w:rsidRDefault="007576B4" w:rsidP="003344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AAB9A1" w14:textId="77777777" w:rsidR="002F2C0A" w:rsidRDefault="002F2C0A" w:rsidP="00B5041A">
    <w:pPr>
      <w:pStyle w:val="Footer"/>
      <w:framePr w:wrap="around" w:vAnchor="text" w:hAnchor="margin" w:xAlign="right" w:y="1"/>
      <w:rPr>
        <w:rStyle w:val="PageNumber"/>
      </w:rPr>
    </w:pPr>
    <w:r>
      <w:rPr>
        <w:rStyle w:val="PageNumber"/>
        <w:lang w:bidi="fr-FR"/>
      </w:rPr>
      <w:fldChar w:fldCharType="begin"/>
    </w:r>
    <w:r>
      <w:rPr>
        <w:rStyle w:val="PageNumber"/>
        <w:lang w:bidi="fr-FR"/>
      </w:rPr>
      <w:instrText xml:space="preserve">PAGE  </w:instrText>
    </w:r>
    <w:r>
      <w:rPr>
        <w:rStyle w:val="PageNumber"/>
        <w:lang w:bidi="fr-FR"/>
      </w:rPr>
      <w:fldChar w:fldCharType="end"/>
    </w:r>
  </w:p>
  <w:p w14:paraId="63AF3F59" w14:textId="77777777" w:rsidR="002F2C0A" w:rsidRDefault="002F2C0A" w:rsidP="000E19F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C2C57A" w14:textId="77777777" w:rsidR="002F2C0A" w:rsidRDefault="002F2C0A" w:rsidP="00B5041A">
    <w:pPr>
      <w:pStyle w:val="Footer"/>
      <w:framePr w:wrap="around" w:vAnchor="text" w:hAnchor="margin" w:xAlign="right" w:y="1"/>
      <w:rPr>
        <w:rStyle w:val="PageNumber"/>
      </w:rPr>
    </w:pPr>
    <w:r>
      <w:rPr>
        <w:rStyle w:val="PageNumber"/>
        <w:lang w:bidi="fr-FR"/>
      </w:rPr>
      <w:fldChar w:fldCharType="begin"/>
    </w:r>
    <w:r>
      <w:rPr>
        <w:rStyle w:val="PageNumber"/>
        <w:lang w:bidi="fr-FR"/>
      </w:rPr>
      <w:instrText xml:space="preserve">PAGE  </w:instrText>
    </w:r>
    <w:r>
      <w:rPr>
        <w:rStyle w:val="PageNumber"/>
        <w:lang w:bidi="fr-FR"/>
      </w:rPr>
      <w:fldChar w:fldCharType="separate"/>
    </w:r>
    <w:r w:rsidR="00922B42">
      <w:rPr>
        <w:rStyle w:val="PageNumber"/>
        <w:noProof/>
        <w:lang w:bidi="fr-FR"/>
      </w:rPr>
      <w:t>1</w:t>
    </w:r>
    <w:r>
      <w:rPr>
        <w:rStyle w:val="PageNumber"/>
        <w:lang w:bidi="fr-FR"/>
      </w:rPr>
      <w:fldChar w:fldCharType="end"/>
    </w:r>
  </w:p>
  <w:p w14:paraId="0E6EA933" w14:textId="5F5FDA8F" w:rsidR="002F2C0A" w:rsidRPr="006D7259" w:rsidRDefault="000C56C5" w:rsidP="000E19F8">
    <w:pPr>
      <w:pStyle w:val="NoSpacing"/>
      <w:ind w:right="360"/>
      <w:rPr>
        <w:sz w:val="18"/>
        <w:szCs w:val="18"/>
      </w:rPr>
    </w:pPr>
    <w:r w:rsidRPr="006D7259">
      <w:rPr>
        <w:sz w:val="18"/>
        <w:szCs w:val="18"/>
        <w:lang w:bidi="fr-FR"/>
      </w:rPr>
      <w:t>Guide de suivi de l’indicateur 6.5.1 des ODD</w:t>
    </w:r>
    <w:r w:rsidR="00201640">
      <w:rPr>
        <w:sz w:val="18"/>
        <w:szCs w:val="18"/>
        <w:lang w:bidi="fr-FR"/>
      </w:rPr>
      <w:t xml:space="preserve"> 2020</w:t>
    </w:r>
    <w:r w:rsidRPr="006D7259">
      <w:rPr>
        <w:sz w:val="18"/>
        <w:szCs w:val="18"/>
        <w:lang w:bidi="fr-FR"/>
      </w:rPr>
      <w:t xml:space="preserve"> </w:t>
    </w:r>
    <w:r w:rsidRPr="006D7259">
      <w:rPr>
        <w:sz w:val="18"/>
        <w:szCs w:val="18"/>
        <w:lang w:bidi="fr-FR"/>
      </w:rPr>
      <w:tab/>
    </w:r>
    <w:r w:rsidRPr="006D7259">
      <w:rPr>
        <w:sz w:val="18"/>
        <w:szCs w:val="18"/>
        <w:lang w:bidi="fr-FR"/>
      </w:rPr>
      <w:tab/>
    </w:r>
    <w:r w:rsidRPr="006D7259">
      <w:rPr>
        <w:sz w:val="18"/>
        <w:szCs w:val="18"/>
        <w:lang w:bidi="fr-FR"/>
      </w:rPr>
      <w:tab/>
    </w:r>
    <w:r w:rsidRPr="006D7259">
      <w:rPr>
        <w:sz w:val="18"/>
        <w:szCs w:val="18"/>
        <w:lang w:bidi="fr-FR"/>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E29DEE" w14:textId="77777777" w:rsidR="007576B4" w:rsidRDefault="007576B4" w:rsidP="00334405">
      <w:pPr>
        <w:spacing w:after="0" w:line="240" w:lineRule="auto"/>
      </w:pPr>
      <w:r>
        <w:separator/>
      </w:r>
    </w:p>
  </w:footnote>
  <w:footnote w:type="continuationSeparator" w:id="0">
    <w:p w14:paraId="6CBF7051" w14:textId="77777777" w:rsidR="007576B4" w:rsidRDefault="007576B4" w:rsidP="00334405">
      <w:pPr>
        <w:spacing w:after="0" w:line="240" w:lineRule="auto"/>
      </w:pPr>
      <w:r>
        <w:continuationSeparator/>
      </w:r>
    </w:p>
  </w:footnote>
  <w:footnote w:id="1">
    <w:p w14:paraId="4DC94DC2" w14:textId="3CA9C9AA" w:rsidR="00CD75C4" w:rsidRPr="009C0B21" w:rsidRDefault="00CD75C4" w:rsidP="00CD75C4">
      <w:pPr>
        <w:pStyle w:val="FootnoteText"/>
        <w:rPr>
          <w:sz w:val="20"/>
          <w:szCs w:val="20"/>
        </w:rPr>
      </w:pPr>
      <w:r w:rsidRPr="006D7259">
        <w:rPr>
          <w:rStyle w:val="FootnoteReference"/>
          <w:sz w:val="20"/>
          <w:szCs w:val="20"/>
          <w:lang w:bidi="fr-FR"/>
        </w:rPr>
        <w:footnoteRef/>
      </w:r>
      <w:r w:rsidRPr="006D7259">
        <w:rPr>
          <w:sz w:val="20"/>
          <w:szCs w:val="20"/>
          <w:lang w:bidi="fr-FR"/>
        </w:rPr>
        <w:t xml:space="preserve"> Les documents relatifs au processus d’examen ainsi que les recommandations en question sont téléchargeables </w:t>
      </w:r>
      <w:hyperlink r:id="rId1" w:history="1">
        <w:r w:rsidRPr="006E3660">
          <w:rPr>
            <w:rStyle w:val="Hyperlink"/>
            <w:sz w:val="20"/>
            <w:szCs w:val="20"/>
            <w:lang w:bidi="fr-FR"/>
          </w:rPr>
          <w:t>ici</w:t>
        </w:r>
      </w:hyperlink>
      <w:r w:rsidRPr="006D7259">
        <w:rPr>
          <w:sz w:val="20"/>
          <w:szCs w:val="20"/>
          <w:lang w:bidi="fr-FR"/>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2B46786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4CA7006"/>
    <w:multiLevelType w:val="hybridMultilevel"/>
    <w:tmpl w:val="CAA23CEC"/>
    <w:lvl w:ilvl="0" w:tplc="0406000F">
      <w:start w:val="1"/>
      <w:numFmt w:val="decimal"/>
      <w:lvlText w:val="%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 w15:restartNumberingAfterBreak="0">
    <w:nsid w:val="0FB71241"/>
    <w:multiLevelType w:val="hybridMultilevel"/>
    <w:tmpl w:val="EA240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0E0784"/>
    <w:multiLevelType w:val="hybridMultilevel"/>
    <w:tmpl w:val="B6CC2994"/>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15:restartNumberingAfterBreak="0">
    <w:nsid w:val="191C01AE"/>
    <w:multiLevelType w:val="hybridMultilevel"/>
    <w:tmpl w:val="2004C2B6"/>
    <w:lvl w:ilvl="0" w:tplc="0406001B">
      <w:start w:val="1"/>
      <w:numFmt w:val="lowerRoman"/>
      <w:lvlText w:val="%1."/>
      <w:lvlJc w:val="righ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 w15:restartNumberingAfterBreak="0">
    <w:nsid w:val="1C7E5068"/>
    <w:multiLevelType w:val="hybridMultilevel"/>
    <w:tmpl w:val="E7A40AAA"/>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6" w15:restartNumberingAfterBreak="0">
    <w:nsid w:val="1CC27232"/>
    <w:multiLevelType w:val="hybridMultilevel"/>
    <w:tmpl w:val="8EEC9D7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1CED5A73"/>
    <w:multiLevelType w:val="hybridMultilevel"/>
    <w:tmpl w:val="683EA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596050"/>
    <w:multiLevelType w:val="hybridMultilevel"/>
    <w:tmpl w:val="65C82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357553"/>
    <w:multiLevelType w:val="hybridMultilevel"/>
    <w:tmpl w:val="7BA044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CD61877"/>
    <w:multiLevelType w:val="hybridMultilevel"/>
    <w:tmpl w:val="6EDC88C8"/>
    <w:lvl w:ilvl="0" w:tplc="0406000F">
      <w:start w:val="1"/>
      <w:numFmt w:val="decimal"/>
      <w:lvlText w:val="%1."/>
      <w:lvlJc w:val="left"/>
      <w:pPr>
        <w:ind w:left="720" w:hanging="360"/>
      </w:p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11" w15:restartNumberingAfterBreak="0">
    <w:nsid w:val="45592DA5"/>
    <w:multiLevelType w:val="hybridMultilevel"/>
    <w:tmpl w:val="A6601A16"/>
    <w:lvl w:ilvl="0" w:tplc="08090001">
      <w:start w:val="1"/>
      <w:numFmt w:val="bullet"/>
      <w:lvlText w:val=""/>
      <w:lvlJc w:val="left"/>
      <w:pPr>
        <w:ind w:left="767" w:hanging="360"/>
      </w:pPr>
      <w:rPr>
        <w:rFonts w:ascii="Symbol" w:hAnsi="Symbol" w:hint="default"/>
      </w:rPr>
    </w:lvl>
    <w:lvl w:ilvl="1" w:tplc="08090003" w:tentative="1">
      <w:start w:val="1"/>
      <w:numFmt w:val="bullet"/>
      <w:lvlText w:val="o"/>
      <w:lvlJc w:val="left"/>
      <w:pPr>
        <w:ind w:left="1487" w:hanging="360"/>
      </w:pPr>
      <w:rPr>
        <w:rFonts w:ascii="Courier New" w:hAnsi="Courier New" w:cs="Courier New" w:hint="default"/>
      </w:rPr>
    </w:lvl>
    <w:lvl w:ilvl="2" w:tplc="08090005" w:tentative="1">
      <w:start w:val="1"/>
      <w:numFmt w:val="bullet"/>
      <w:lvlText w:val=""/>
      <w:lvlJc w:val="left"/>
      <w:pPr>
        <w:ind w:left="2207" w:hanging="360"/>
      </w:pPr>
      <w:rPr>
        <w:rFonts w:ascii="Wingdings" w:hAnsi="Wingdings" w:hint="default"/>
      </w:rPr>
    </w:lvl>
    <w:lvl w:ilvl="3" w:tplc="08090001" w:tentative="1">
      <w:start w:val="1"/>
      <w:numFmt w:val="bullet"/>
      <w:lvlText w:val=""/>
      <w:lvlJc w:val="left"/>
      <w:pPr>
        <w:ind w:left="2927" w:hanging="360"/>
      </w:pPr>
      <w:rPr>
        <w:rFonts w:ascii="Symbol" w:hAnsi="Symbol" w:hint="default"/>
      </w:rPr>
    </w:lvl>
    <w:lvl w:ilvl="4" w:tplc="08090003" w:tentative="1">
      <w:start w:val="1"/>
      <w:numFmt w:val="bullet"/>
      <w:lvlText w:val="o"/>
      <w:lvlJc w:val="left"/>
      <w:pPr>
        <w:ind w:left="3647" w:hanging="360"/>
      </w:pPr>
      <w:rPr>
        <w:rFonts w:ascii="Courier New" w:hAnsi="Courier New" w:cs="Courier New" w:hint="default"/>
      </w:rPr>
    </w:lvl>
    <w:lvl w:ilvl="5" w:tplc="08090005" w:tentative="1">
      <w:start w:val="1"/>
      <w:numFmt w:val="bullet"/>
      <w:lvlText w:val=""/>
      <w:lvlJc w:val="left"/>
      <w:pPr>
        <w:ind w:left="4367" w:hanging="360"/>
      </w:pPr>
      <w:rPr>
        <w:rFonts w:ascii="Wingdings" w:hAnsi="Wingdings" w:hint="default"/>
      </w:rPr>
    </w:lvl>
    <w:lvl w:ilvl="6" w:tplc="08090001" w:tentative="1">
      <w:start w:val="1"/>
      <w:numFmt w:val="bullet"/>
      <w:lvlText w:val=""/>
      <w:lvlJc w:val="left"/>
      <w:pPr>
        <w:ind w:left="5087" w:hanging="360"/>
      </w:pPr>
      <w:rPr>
        <w:rFonts w:ascii="Symbol" w:hAnsi="Symbol" w:hint="default"/>
      </w:rPr>
    </w:lvl>
    <w:lvl w:ilvl="7" w:tplc="08090003" w:tentative="1">
      <w:start w:val="1"/>
      <w:numFmt w:val="bullet"/>
      <w:lvlText w:val="o"/>
      <w:lvlJc w:val="left"/>
      <w:pPr>
        <w:ind w:left="5807" w:hanging="360"/>
      </w:pPr>
      <w:rPr>
        <w:rFonts w:ascii="Courier New" w:hAnsi="Courier New" w:cs="Courier New" w:hint="default"/>
      </w:rPr>
    </w:lvl>
    <w:lvl w:ilvl="8" w:tplc="08090005" w:tentative="1">
      <w:start w:val="1"/>
      <w:numFmt w:val="bullet"/>
      <w:lvlText w:val=""/>
      <w:lvlJc w:val="left"/>
      <w:pPr>
        <w:ind w:left="6527" w:hanging="360"/>
      </w:pPr>
      <w:rPr>
        <w:rFonts w:ascii="Wingdings" w:hAnsi="Wingdings" w:hint="default"/>
      </w:rPr>
    </w:lvl>
  </w:abstractNum>
  <w:abstractNum w:abstractNumId="12" w15:restartNumberingAfterBreak="0">
    <w:nsid w:val="46AE375B"/>
    <w:multiLevelType w:val="hybridMultilevel"/>
    <w:tmpl w:val="122EE6D4"/>
    <w:lvl w:ilvl="0" w:tplc="AFD40166">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3" w15:restartNumberingAfterBreak="0">
    <w:nsid w:val="5C0A3ED3"/>
    <w:multiLevelType w:val="multilevel"/>
    <w:tmpl w:val="DE5E7778"/>
    <w:lvl w:ilvl="0">
      <w:start w:val="1"/>
      <w:numFmt w:val="decimal"/>
      <w:pStyle w:val="Heading1"/>
      <w:lvlText w:val="%1."/>
      <w:lvlJc w:val="left"/>
      <w:pPr>
        <w:ind w:left="720" w:hanging="360"/>
      </w:pPr>
      <w:rPr>
        <w:rFonts w:hint="default"/>
      </w:rPr>
    </w:lvl>
    <w:lvl w:ilvl="1">
      <w:start w:val="1"/>
      <w:numFmt w:val="decimal"/>
      <w:pStyle w:val="Heading2"/>
      <w:isLgl/>
      <w:lvlText w:val="%1.%2"/>
      <w:lvlJc w:val="left"/>
      <w:pPr>
        <w:ind w:left="1080" w:hanging="720"/>
      </w:pPr>
      <w:rPr>
        <w:rFonts w:hint="default"/>
      </w:rPr>
    </w:lvl>
    <w:lvl w:ilvl="2">
      <w:start w:val="1"/>
      <w:numFmt w:val="decimal"/>
      <w:pStyle w:val="Heading3"/>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5C1553F5"/>
    <w:multiLevelType w:val="hybridMultilevel"/>
    <w:tmpl w:val="5A5AA8AE"/>
    <w:lvl w:ilvl="0" w:tplc="04060001">
      <w:start w:val="1"/>
      <w:numFmt w:val="bullet"/>
      <w:lvlText w:val=""/>
      <w:lvlJc w:val="left"/>
      <w:pPr>
        <w:ind w:left="1800" w:hanging="360"/>
      </w:pPr>
      <w:rPr>
        <w:rFonts w:ascii="Symbol" w:hAnsi="Symbol" w:hint="default"/>
      </w:rPr>
    </w:lvl>
    <w:lvl w:ilvl="1" w:tplc="04060003" w:tentative="1">
      <w:start w:val="1"/>
      <w:numFmt w:val="bullet"/>
      <w:lvlText w:val="o"/>
      <w:lvlJc w:val="left"/>
      <w:pPr>
        <w:ind w:left="2520" w:hanging="360"/>
      </w:pPr>
      <w:rPr>
        <w:rFonts w:ascii="Courier New" w:hAnsi="Courier New" w:cs="Courier New" w:hint="default"/>
      </w:rPr>
    </w:lvl>
    <w:lvl w:ilvl="2" w:tplc="04060005" w:tentative="1">
      <w:start w:val="1"/>
      <w:numFmt w:val="bullet"/>
      <w:lvlText w:val=""/>
      <w:lvlJc w:val="left"/>
      <w:pPr>
        <w:ind w:left="3240" w:hanging="360"/>
      </w:pPr>
      <w:rPr>
        <w:rFonts w:ascii="Wingdings" w:hAnsi="Wingdings" w:hint="default"/>
      </w:rPr>
    </w:lvl>
    <w:lvl w:ilvl="3" w:tplc="04060001" w:tentative="1">
      <w:start w:val="1"/>
      <w:numFmt w:val="bullet"/>
      <w:lvlText w:val=""/>
      <w:lvlJc w:val="left"/>
      <w:pPr>
        <w:ind w:left="3960" w:hanging="360"/>
      </w:pPr>
      <w:rPr>
        <w:rFonts w:ascii="Symbol" w:hAnsi="Symbol" w:hint="default"/>
      </w:rPr>
    </w:lvl>
    <w:lvl w:ilvl="4" w:tplc="04060003" w:tentative="1">
      <w:start w:val="1"/>
      <w:numFmt w:val="bullet"/>
      <w:lvlText w:val="o"/>
      <w:lvlJc w:val="left"/>
      <w:pPr>
        <w:ind w:left="4680" w:hanging="360"/>
      </w:pPr>
      <w:rPr>
        <w:rFonts w:ascii="Courier New" w:hAnsi="Courier New" w:cs="Courier New" w:hint="default"/>
      </w:rPr>
    </w:lvl>
    <w:lvl w:ilvl="5" w:tplc="04060005" w:tentative="1">
      <w:start w:val="1"/>
      <w:numFmt w:val="bullet"/>
      <w:lvlText w:val=""/>
      <w:lvlJc w:val="left"/>
      <w:pPr>
        <w:ind w:left="5400" w:hanging="360"/>
      </w:pPr>
      <w:rPr>
        <w:rFonts w:ascii="Wingdings" w:hAnsi="Wingdings" w:hint="default"/>
      </w:rPr>
    </w:lvl>
    <w:lvl w:ilvl="6" w:tplc="04060001" w:tentative="1">
      <w:start w:val="1"/>
      <w:numFmt w:val="bullet"/>
      <w:lvlText w:val=""/>
      <w:lvlJc w:val="left"/>
      <w:pPr>
        <w:ind w:left="6120" w:hanging="360"/>
      </w:pPr>
      <w:rPr>
        <w:rFonts w:ascii="Symbol" w:hAnsi="Symbol" w:hint="default"/>
      </w:rPr>
    </w:lvl>
    <w:lvl w:ilvl="7" w:tplc="04060003" w:tentative="1">
      <w:start w:val="1"/>
      <w:numFmt w:val="bullet"/>
      <w:lvlText w:val="o"/>
      <w:lvlJc w:val="left"/>
      <w:pPr>
        <w:ind w:left="6840" w:hanging="360"/>
      </w:pPr>
      <w:rPr>
        <w:rFonts w:ascii="Courier New" w:hAnsi="Courier New" w:cs="Courier New" w:hint="default"/>
      </w:rPr>
    </w:lvl>
    <w:lvl w:ilvl="8" w:tplc="04060005" w:tentative="1">
      <w:start w:val="1"/>
      <w:numFmt w:val="bullet"/>
      <w:lvlText w:val=""/>
      <w:lvlJc w:val="left"/>
      <w:pPr>
        <w:ind w:left="7560" w:hanging="360"/>
      </w:pPr>
      <w:rPr>
        <w:rFonts w:ascii="Wingdings" w:hAnsi="Wingdings" w:hint="default"/>
      </w:rPr>
    </w:lvl>
  </w:abstractNum>
  <w:abstractNum w:abstractNumId="15" w15:restartNumberingAfterBreak="0">
    <w:nsid w:val="5E8601FE"/>
    <w:multiLevelType w:val="hybridMultilevel"/>
    <w:tmpl w:val="4462F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F6B4914"/>
    <w:multiLevelType w:val="hybridMultilevel"/>
    <w:tmpl w:val="9B06A6B0"/>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7" w15:restartNumberingAfterBreak="0">
    <w:nsid w:val="6C844E02"/>
    <w:multiLevelType w:val="hybridMultilevel"/>
    <w:tmpl w:val="2EBEB616"/>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18" w15:restartNumberingAfterBreak="0">
    <w:nsid w:val="772C1C2B"/>
    <w:multiLevelType w:val="hybridMultilevel"/>
    <w:tmpl w:val="C71AD548"/>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num w:numId="1">
    <w:abstractNumId w:val="13"/>
  </w:num>
  <w:num w:numId="2">
    <w:abstractNumId w:val="8"/>
  </w:num>
  <w:num w:numId="3">
    <w:abstractNumId w:val="15"/>
  </w:num>
  <w:num w:numId="4">
    <w:abstractNumId w:val="2"/>
  </w:num>
  <w:num w:numId="5">
    <w:abstractNumId w:val="3"/>
  </w:num>
  <w:num w:numId="6">
    <w:abstractNumId w:val="18"/>
  </w:num>
  <w:num w:numId="7">
    <w:abstractNumId w:val="10"/>
  </w:num>
  <w:num w:numId="8">
    <w:abstractNumId w:val="14"/>
  </w:num>
  <w:num w:numId="9">
    <w:abstractNumId w:val="4"/>
  </w:num>
  <w:num w:numId="10">
    <w:abstractNumId w:val="5"/>
  </w:num>
  <w:num w:numId="11">
    <w:abstractNumId w:val="9"/>
  </w:num>
  <w:num w:numId="12">
    <w:abstractNumId w:val="7"/>
  </w:num>
  <w:num w:numId="13">
    <w:abstractNumId w:val="16"/>
  </w:num>
  <w:num w:numId="14">
    <w:abstractNumId w:val="17"/>
  </w:num>
  <w:num w:numId="15">
    <w:abstractNumId w:val="1"/>
  </w:num>
  <w:num w:numId="16">
    <w:abstractNumId w:val="12"/>
  </w:num>
  <w:num w:numId="17">
    <w:abstractNumId w:val="6"/>
  </w:num>
  <w:num w:numId="18">
    <w:abstractNumId w:val="11"/>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3EAC"/>
    <w:rsid w:val="00007506"/>
    <w:rsid w:val="0000794A"/>
    <w:rsid w:val="00007BC4"/>
    <w:rsid w:val="0001434B"/>
    <w:rsid w:val="000148DC"/>
    <w:rsid w:val="00014BE3"/>
    <w:rsid w:val="00016EDB"/>
    <w:rsid w:val="000223C0"/>
    <w:rsid w:val="00022DAF"/>
    <w:rsid w:val="00023421"/>
    <w:rsid w:val="00024974"/>
    <w:rsid w:val="00030851"/>
    <w:rsid w:val="000320C4"/>
    <w:rsid w:val="00037D3D"/>
    <w:rsid w:val="00044A82"/>
    <w:rsid w:val="00045A75"/>
    <w:rsid w:val="00047FAD"/>
    <w:rsid w:val="0005091E"/>
    <w:rsid w:val="00051DC7"/>
    <w:rsid w:val="000563D4"/>
    <w:rsid w:val="00057D8A"/>
    <w:rsid w:val="0006062A"/>
    <w:rsid w:val="0006165D"/>
    <w:rsid w:val="00065B5E"/>
    <w:rsid w:val="0006757E"/>
    <w:rsid w:val="00071EE8"/>
    <w:rsid w:val="00072454"/>
    <w:rsid w:val="000746C1"/>
    <w:rsid w:val="00077E47"/>
    <w:rsid w:val="00080AE1"/>
    <w:rsid w:val="0008178A"/>
    <w:rsid w:val="00081D04"/>
    <w:rsid w:val="00081F86"/>
    <w:rsid w:val="000830E3"/>
    <w:rsid w:val="00084DF8"/>
    <w:rsid w:val="00086C5A"/>
    <w:rsid w:val="00093970"/>
    <w:rsid w:val="000961C8"/>
    <w:rsid w:val="0009685C"/>
    <w:rsid w:val="00096D18"/>
    <w:rsid w:val="000A17C6"/>
    <w:rsid w:val="000A5312"/>
    <w:rsid w:val="000A64E8"/>
    <w:rsid w:val="000A7A6D"/>
    <w:rsid w:val="000B5851"/>
    <w:rsid w:val="000C0202"/>
    <w:rsid w:val="000C56C5"/>
    <w:rsid w:val="000D12D1"/>
    <w:rsid w:val="000D191A"/>
    <w:rsid w:val="000D191B"/>
    <w:rsid w:val="000D20CC"/>
    <w:rsid w:val="000D3DBD"/>
    <w:rsid w:val="000D78F8"/>
    <w:rsid w:val="000E19F8"/>
    <w:rsid w:val="000E6AFB"/>
    <w:rsid w:val="000E749B"/>
    <w:rsid w:val="000E7A8A"/>
    <w:rsid w:val="000F2510"/>
    <w:rsid w:val="001178D3"/>
    <w:rsid w:val="001246C7"/>
    <w:rsid w:val="00126B80"/>
    <w:rsid w:val="001271D2"/>
    <w:rsid w:val="001302AF"/>
    <w:rsid w:val="0013587F"/>
    <w:rsid w:val="001369DE"/>
    <w:rsid w:val="00137ACC"/>
    <w:rsid w:val="001405D5"/>
    <w:rsid w:val="00141D6D"/>
    <w:rsid w:val="00144B0F"/>
    <w:rsid w:val="00144ED3"/>
    <w:rsid w:val="00146A37"/>
    <w:rsid w:val="0015028D"/>
    <w:rsid w:val="00151EDC"/>
    <w:rsid w:val="001539CF"/>
    <w:rsid w:val="00156283"/>
    <w:rsid w:val="001570EF"/>
    <w:rsid w:val="00161AAB"/>
    <w:rsid w:val="001631DB"/>
    <w:rsid w:val="00163B30"/>
    <w:rsid w:val="0016430D"/>
    <w:rsid w:val="0016441C"/>
    <w:rsid w:val="00167487"/>
    <w:rsid w:val="00170A90"/>
    <w:rsid w:val="0017193E"/>
    <w:rsid w:val="001727BC"/>
    <w:rsid w:val="00173308"/>
    <w:rsid w:val="0017584B"/>
    <w:rsid w:val="0017646D"/>
    <w:rsid w:val="00176AE1"/>
    <w:rsid w:val="00182A88"/>
    <w:rsid w:val="00183010"/>
    <w:rsid w:val="00186C0A"/>
    <w:rsid w:val="00187567"/>
    <w:rsid w:val="00193E7E"/>
    <w:rsid w:val="001A0B59"/>
    <w:rsid w:val="001A4F74"/>
    <w:rsid w:val="001B3595"/>
    <w:rsid w:val="001B503E"/>
    <w:rsid w:val="001B51DF"/>
    <w:rsid w:val="001B591D"/>
    <w:rsid w:val="001B5A3E"/>
    <w:rsid w:val="001B7FDA"/>
    <w:rsid w:val="001C16BB"/>
    <w:rsid w:val="001D021D"/>
    <w:rsid w:val="001D2E95"/>
    <w:rsid w:val="001D2F83"/>
    <w:rsid w:val="001D6700"/>
    <w:rsid w:val="001D6A7C"/>
    <w:rsid w:val="001D7D11"/>
    <w:rsid w:val="001E10F0"/>
    <w:rsid w:val="001E1D6A"/>
    <w:rsid w:val="001E4FB3"/>
    <w:rsid w:val="001E59B3"/>
    <w:rsid w:val="001E5A54"/>
    <w:rsid w:val="001E5E22"/>
    <w:rsid w:val="001E6090"/>
    <w:rsid w:val="001E7CE0"/>
    <w:rsid w:val="001F2CB8"/>
    <w:rsid w:val="00200ED1"/>
    <w:rsid w:val="00201640"/>
    <w:rsid w:val="00205970"/>
    <w:rsid w:val="00205988"/>
    <w:rsid w:val="00205A99"/>
    <w:rsid w:val="00212661"/>
    <w:rsid w:val="00212A67"/>
    <w:rsid w:val="00212DCC"/>
    <w:rsid w:val="002140CC"/>
    <w:rsid w:val="00214AF0"/>
    <w:rsid w:val="00223C90"/>
    <w:rsid w:val="00226654"/>
    <w:rsid w:val="00231928"/>
    <w:rsid w:val="00233F56"/>
    <w:rsid w:val="00234D6B"/>
    <w:rsid w:val="00236D5A"/>
    <w:rsid w:val="00237973"/>
    <w:rsid w:val="00242E12"/>
    <w:rsid w:val="00246DF1"/>
    <w:rsid w:val="00247AE3"/>
    <w:rsid w:val="00256B36"/>
    <w:rsid w:val="002609E8"/>
    <w:rsid w:val="00262B20"/>
    <w:rsid w:val="00264733"/>
    <w:rsid w:val="002664BB"/>
    <w:rsid w:val="00273B4E"/>
    <w:rsid w:val="002802FE"/>
    <w:rsid w:val="0028110C"/>
    <w:rsid w:val="002811C3"/>
    <w:rsid w:val="00282249"/>
    <w:rsid w:val="002846B4"/>
    <w:rsid w:val="00285110"/>
    <w:rsid w:val="0028535A"/>
    <w:rsid w:val="002858A8"/>
    <w:rsid w:val="002861ED"/>
    <w:rsid w:val="00286F58"/>
    <w:rsid w:val="0028722E"/>
    <w:rsid w:val="00290790"/>
    <w:rsid w:val="00293B49"/>
    <w:rsid w:val="00296A4F"/>
    <w:rsid w:val="00296E7C"/>
    <w:rsid w:val="00297B2C"/>
    <w:rsid w:val="002A1610"/>
    <w:rsid w:val="002A5050"/>
    <w:rsid w:val="002B371E"/>
    <w:rsid w:val="002B4C55"/>
    <w:rsid w:val="002B5281"/>
    <w:rsid w:val="002B6E59"/>
    <w:rsid w:val="002C438C"/>
    <w:rsid w:val="002C4563"/>
    <w:rsid w:val="002C79DE"/>
    <w:rsid w:val="002C7EA2"/>
    <w:rsid w:val="002D0E06"/>
    <w:rsid w:val="002D2469"/>
    <w:rsid w:val="002D3C0C"/>
    <w:rsid w:val="002D3C55"/>
    <w:rsid w:val="002D6999"/>
    <w:rsid w:val="002E2F5E"/>
    <w:rsid w:val="002E30AF"/>
    <w:rsid w:val="002E4C92"/>
    <w:rsid w:val="002E4F6C"/>
    <w:rsid w:val="002F0CBE"/>
    <w:rsid w:val="002F15BB"/>
    <w:rsid w:val="002F18BB"/>
    <w:rsid w:val="002F22C4"/>
    <w:rsid w:val="002F2C0A"/>
    <w:rsid w:val="002F6FE2"/>
    <w:rsid w:val="003004FD"/>
    <w:rsid w:val="003014D5"/>
    <w:rsid w:val="00305450"/>
    <w:rsid w:val="00305C89"/>
    <w:rsid w:val="00305D6B"/>
    <w:rsid w:val="00306538"/>
    <w:rsid w:val="0031034D"/>
    <w:rsid w:val="00310C8C"/>
    <w:rsid w:val="00312920"/>
    <w:rsid w:val="00314827"/>
    <w:rsid w:val="0031600E"/>
    <w:rsid w:val="003206E9"/>
    <w:rsid w:val="003209D7"/>
    <w:rsid w:val="003217B6"/>
    <w:rsid w:val="00322D7B"/>
    <w:rsid w:val="003233F1"/>
    <w:rsid w:val="00324D80"/>
    <w:rsid w:val="00324FBA"/>
    <w:rsid w:val="00325486"/>
    <w:rsid w:val="00331344"/>
    <w:rsid w:val="00332386"/>
    <w:rsid w:val="00332B32"/>
    <w:rsid w:val="00334405"/>
    <w:rsid w:val="003366B7"/>
    <w:rsid w:val="00337FAB"/>
    <w:rsid w:val="00341B4D"/>
    <w:rsid w:val="00346BF8"/>
    <w:rsid w:val="00347DEA"/>
    <w:rsid w:val="003510A2"/>
    <w:rsid w:val="003531E2"/>
    <w:rsid w:val="00363166"/>
    <w:rsid w:val="00363847"/>
    <w:rsid w:val="003645F4"/>
    <w:rsid w:val="00364793"/>
    <w:rsid w:val="00366744"/>
    <w:rsid w:val="00366FBF"/>
    <w:rsid w:val="003701A1"/>
    <w:rsid w:val="00370F5A"/>
    <w:rsid w:val="003711F9"/>
    <w:rsid w:val="00380C06"/>
    <w:rsid w:val="00381903"/>
    <w:rsid w:val="00390AD1"/>
    <w:rsid w:val="00390D14"/>
    <w:rsid w:val="00395836"/>
    <w:rsid w:val="003972C6"/>
    <w:rsid w:val="003A0476"/>
    <w:rsid w:val="003A5A2F"/>
    <w:rsid w:val="003A6BDD"/>
    <w:rsid w:val="003A7AD7"/>
    <w:rsid w:val="003B497C"/>
    <w:rsid w:val="003B6D6B"/>
    <w:rsid w:val="003B7CE6"/>
    <w:rsid w:val="003C176C"/>
    <w:rsid w:val="003C5786"/>
    <w:rsid w:val="003C58E8"/>
    <w:rsid w:val="003C6A6D"/>
    <w:rsid w:val="003D126A"/>
    <w:rsid w:val="003D142A"/>
    <w:rsid w:val="003D166E"/>
    <w:rsid w:val="003D30C1"/>
    <w:rsid w:val="003D4296"/>
    <w:rsid w:val="003D43BA"/>
    <w:rsid w:val="003E1346"/>
    <w:rsid w:val="003E69E4"/>
    <w:rsid w:val="003E7ED2"/>
    <w:rsid w:val="003F1258"/>
    <w:rsid w:val="003F312E"/>
    <w:rsid w:val="003F3857"/>
    <w:rsid w:val="003F6A9A"/>
    <w:rsid w:val="003F712D"/>
    <w:rsid w:val="00400B34"/>
    <w:rsid w:val="00401D21"/>
    <w:rsid w:val="00402CA5"/>
    <w:rsid w:val="004032E7"/>
    <w:rsid w:val="00404DA4"/>
    <w:rsid w:val="00405255"/>
    <w:rsid w:val="004059BA"/>
    <w:rsid w:val="004106CB"/>
    <w:rsid w:val="00410CB4"/>
    <w:rsid w:val="004117EB"/>
    <w:rsid w:val="00411F01"/>
    <w:rsid w:val="00413134"/>
    <w:rsid w:val="004132FF"/>
    <w:rsid w:val="00413E5D"/>
    <w:rsid w:val="004146A4"/>
    <w:rsid w:val="00414A97"/>
    <w:rsid w:val="004161F9"/>
    <w:rsid w:val="00417C17"/>
    <w:rsid w:val="00426556"/>
    <w:rsid w:val="00431F57"/>
    <w:rsid w:val="00434524"/>
    <w:rsid w:val="0044463C"/>
    <w:rsid w:val="0044707D"/>
    <w:rsid w:val="004476F7"/>
    <w:rsid w:val="00451405"/>
    <w:rsid w:val="00453FE4"/>
    <w:rsid w:val="0045600D"/>
    <w:rsid w:val="0046217F"/>
    <w:rsid w:val="00462E1B"/>
    <w:rsid w:val="00464AA5"/>
    <w:rsid w:val="00465386"/>
    <w:rsid w:val="00470737"/>
    <w:rsid w:val="00470E45"/>
    <w:rsid w:val="00474111"/>
    <w:rsid w:val="00477F54"/>
    <w:rsid w:val="00480227"/>
    <w:rsid w:val="0048104F"/>
    <w:rsid w:val="00483852"/>
    <w:rsid w:val="00483C13"/>
    <w:rsid w:val="0048400E"/>
    <w:rsid w:val="00490BBF"/>
    <w:rsid w:val="00491AC7"/>
    <w:rsid w:val="00496F35"/>
    <w:rsid w:val="004A1EE6"/>
    <w:rsid w:val="004A359B"/>
    <w:rsid w:val="004A3E3B"/>
    <w:rsid w:val="004A5A6E"/>
    <w:rsid w:val="004B32F3"/>
    <w:rsid w:val="004B6897"/>
    <w:rsid w:val="004C0B75"/>
    <w:rsid w:val="004C5137"/>
    <w:rsid w:val="004D1F69"/>
    <w:rsid w:val="004D5251"/>
    <w:rsid w:val="004D592E"/>
    <w:rsid w:val="004E4E92"/>
    <w:rsid w:val="004E5659"/>
    <w:rsid w:val="004E7227"/>
    <w:rsid w:val="004F0733"/>
    <w:rsid w:val="004F1517"/>
    <w:rsid w:val="004F30AE"/>
    <w:rsid w:val="004F342E"/>
    <w:rsid w:val="004F3769"/>
    <w:rsid w:val="004F4749"/>
    <w:rsid w:val="005003D5"/>
    <w:rsid w:val="00501803"/>
    <w:rsid w:val="005029B3"/>
    <w:rsid w:val="0050356A"/>
    <w:rsid w:val="00507033"/>
    <w:rsid w:val="00510748"/>
    <w:rsid w:val="00511A9D"/>
    <w:rsid w:val="005158C9"/>
    <w:rsid w:val="00517180"/>
    <w:rsid w:val="00517AC9"/>
    <w:rsid w:val="00524504"/>
    <w:rsid w:val="00524D63"/>
    <w:rsid w:val="005256B6"/>
    <w:rsid w:val="0052701E"/>
    <w:rsid w:val="00530403"/>
    <w:rsid w:val="00530EE4"/>
    <w:rsid w:val="00530F2F"/>
    <w:rsid w:val="00533D8A"/>
    <w:rsid w:val="0053498C"/>
    <w:rsid w:val="0053590F"/>
    <w:rsid w:val="005434E0"/>
    <w:rsid w:val="0054359E"/>
    <w:rsid w:val="0054448C"/>
    <w:rsid w:val="005450B3"/>
    <w:rsid w:val="005479DD"/>
    <w:rsid w:val="00552B75"/>
    <w:rsid w:val="00554990"/>
    <w:rsid w:val="005555BC"/>
    <w:rsid w:val="00557EB9"/>
    <w:rsid w:val="005624DC"/>
    <w:rsid w:val="005630F4"/>
    <w:rsid w:val="00565B20"/>
    <w:rsid w:val="005664C3"/>
    <w:rsid w:val="00575086"/>
    <w:rsid w:val="00575135"/>
    <w:rsid w:val="00577CCA"/>
    <w:rsid w:val="00580070"/>
    <w:rsid w:val="00581288"/>
    <w:rsid w:val="0058147F"/>
    <w:rsid w:val="0058164E"/>
    <w:rsid w:val="00581ED8"/>
    <w:rsid w:val="0058462A"/>
    <w:rsid w:val="00584733"/>
    <w:rsid w:val="00584A3B"/>
    <w:rsid w:val="00585962"/>
    <w:rsid w:val="00590700"/>
    <w:rsid w:val="0059197C"/>
    <w:rsid w:val="0059261B"/>
    <w:rsid w:val="00594A8F"/>
    <w:rsid w:val="005A103A"/>
    <w:rsid w:val="005A4A56"/>
    <w:rsid w:val="005A7616"/>
    <w:rsid w:val="005A795B"/>
    <w:rsid w:val="005B132F"/>
    <w:rsid w:val="005B3582"/>
    <w:rsid w:val="005B629E"/>
    <w:rsid w:val="005C0F72"/>
    <w:rsid w:val="005C2686"/>
    <w:rsid w:val="005E0BD4"/>
    <w:rsid w:val="005E47ED"/>
    <w:rsid w:val="005E4F62"/>
    <w:rsid w:val="005F48D8"/>
    <w:rsid w:val="005F583B"/>
    <w:rsid w:val="005F6BD2"/>
    <w:rsid w:val="005F6D61"/>
    <w:rsid w:val="005F6D99"/>
    <w:rsid w:val="00601D64"/>
    <w:rsid w:val="006024FC"/>
    <w:rsid w:val="00603B9D"/>
    <w:rsid w:val="006071A6"/>
    <w:rsid w:val="006136FE"/>
    <w:rsid w:val="00613AF7"/>
    <w:rsid w:val="00613F77"/>
    <w:rsid w:val="00614ED5"/>
    <w:rsid w:val="00615AFB"/>
    <w:rsid w:val="00616214"/>
    <w:rsid w:val="006235E7"/>
    <w:rsid w:val="00626D1E"/>
    <w:rsid w:val="006351EF"/>
    <w:rsid w:val="00641D7B"/>
    <w:rsid w:val="006428B0"/>
    <w:rsid w:val="00644A34"/>
    <w:rsid w:val="00646E64"/>
    <w:rsid w:val="00651D96"/>
    <w:rsid w:val="006537D4"/>
    <w:rsid w:val="006546FC"/>
    <w:rsid w:val="00656E8C"/>
    <w:rsid w:val="006671CD"/>
    <w:rsid w:val="0067212F"/>
    <w:rsid w:val="006728C9"/>
    <w:rsid w:val="0067693F"/>
    <w:rsid w:val="006813A1"/>
    <w:rsid w:val="00686545"/>
    <w:rsid w:val="00686C89"/>
    <w:rsid w:val="00687A21"/>
    <w:rsid w:val="00690249"/>
    <w:rsid w:val="006935AF"/>
    <w:rsid w:val="006A1A78"/>
    <w:rsid w:val="006A2F10"/>
    <w:rsid w:val="006B4E00"/>
    <w:rsid w:val="006B532B"/>
    <w:rsid w:val="006B54B0"/>
    <w:rsid w:val="006B7732"/>
    <w:rsid w:val="006C1D64"/>
    <w:rsid w:val="006C3564"/>
    <w:rsid w:val="006C6389"/>
    <w:rsid w:val="006D318A"/>
    <w:rsid w:val="006D537B"/>
    <w:rsid w:val="006D7259"/>
    <w:rsid w:val="006E0BA3"/>
    <w:rsid w:val="006E1B5D"/>
    <w:rsid w:val="006E3252"/>
    <w:rsid w:val="006E3660"/>
    <w:rsid w:val="006E366E"/>
    <w:rsid w:val="006E3772"/>
    <w:rsid w:val="006E5E63"/>
    <w:rsid w:val="006E6492"/>
    <w:rsid w:val="006E6637"/>
    <w:rsid w:val="00704DA1"/>
    <w:rsid w:val="00705BE5"/>
    <w:rsid w:val="00707A13"/>
    <w:rsid w:val="007108F9"/>
    <w:rsid w:val="00712D2A"/>
    <w:rsid w:val="00716A60"/>
    <w:rsid w:val="00722F11"/>
    <w:rsid w:val="00726250"/>
    <w:rsid w:val="0073285F"/>
    <w:rsid w:val="00734D2A"/>
    <w:rsid w:val="00736FEF"/>
    <w:rsid w:val="007371D8"/>
    <w:rsid w:val="00741F16"/>
    <w:rsid w:val="00743CEC"/>
    <w:rsid w:val="00745C0A"/>
    <w:rsid w:val="00747EDF"/>
    <w:rsid w:val="00750E8C"/>
    <w:rsid w:val="00752E72"/>
    <w:rsid w:val="0075368D"/>
    <w:rsid w:val="00753A0A"/>
    <w:rsid w:val="00754C2D"/>
    <w:rsid w:val="0075651E"/>
    <w:rsid w:val="00756F9C"/>
    <w:rsid w:val="007576B4"/>
    <w:rsid w:val="007627DD"/>
    <w:rsid w:val="007647B3"/>
    <w:rsid w:val="00770F65"/>
    <w:rsid w:val="00771720"/>
    <w:rsid w:val="00773CE9"/>
    <w:rsid w:val="00774994"/>
    <w:rsid w:val="0077640A"/>
    <w:rsid w:val="007768D2"/>
    <w:rsid w:val="00777A7D"/>
    <w:rsid w:val="0078116B"/>
    <w:rsid w:val="007902F3"/>
    <w:rsid w:val="007926DA"/>
    <w:rsid w:val="007941F9"/>
    <w:rsid w:val="007971E1"/>
    <w:rsid w:val="007A0277"/>
    <w:rsid w:val="007A1371"/>
    <w:rsid w:val="007B201B"/>
    <w:rsid w:val="007B2F18"/>
    <w:rsid w:val="007B3151"/>
    <w:rsid w:val="007C039D"/>
    <w:rsid w:val="007C1274"/>
    <w:rsid w:val="007C13DC"/>
    <w:rsid w:val="007C1623"/>
    <w:rsid w:val="007C71D2"/>
    <w:rsid w:val="007D118D"/>
    <w:rsid w:val="007D3E8E"/>
    <w:rsid w:val="007D40EA"/>
    <w:rsid w:val="007D4C93"/>
    <w:rsid w:val="007D6DEA"/>
    <w:rsid w:val="007E3CDF"/>
    <w:rsid w:val="007E3F94"/>
    <w:rsid w:val="007E4091"/>
    <w:rsid w:val="007E7BBF"/>
    <w:rsid w:val="007F1039"/>
    <w:rsid w:val="007F2C2E"/>
    <w:rsid w:val="007F6F33"/>
    <w:rsid w:val="00801E39"/>
    <w:rsid w:val="00802CBE"/>
    <w:rsid w:val="00805541"/>
    <w:rsid w:val="008142C1"/>
    <w:rsid w:val="00815363"/>
    <w:rsid w:val="008159A5"/>
    <w:rsid w:val="008179FC"/>
    <w:rsid w:val="00825D46"/>
    <w:rsid w:val="00826E57"/>
    <w:rsid w:val="00831292"/>
    <w:rsid w:val="00831647"/>
    <w:rsid w:val="00831C65"/>
    <w:rsid w:val="00831FFF"/>
    <w:rsid w:val="00834DBF"/>
    <w:rsid w:val="00837A08"/>
    <w:rsid w:val="008439E1"/>
    <w:rsid w:val="00843CDC"/>
    <w:rsid w:val="00843E5D"/>
    <w:rsid w:val="00844C6E"/>
    <w:rsid w:val="008450BC"/>
    <w:rsid w:val="00851922"/>
    <w:rsid w:val="00853A74"/>
    <w:rsid w:val="008541FD"/>
    <w:rsid w:val="008547B3"/>
    <w:rsid w:val="00855674"/>
    <w:rsid w:val="00857D23"/>
    <w:rsid w:val="0086364C"/>
    <w:rsid w:val="0086453A"/>
    <w:rsid w:val="00865946"/>
    <w:rsid w:val="00867BF1"/>
    <w:rsid w:val="008708B2"/>
    <w:rsid w:val="00871219"/>
    <w:rsid w:val="00872255"/>
    <w:rsid w:val="00874817"/>
    <w:rsid w:val="008752D4"/>
    <w:rsid w:val="00881A9F"/>
    <w:rsid w:val="008824E0"/>
    <w:rsid w:val="00883CC8"/>
    <w:rsid w:val="0088433C"/>
    <w:rsid w:val="00886949"/>
    <w:rsid w:val="0089015C"/>
    <w:rsid w:val="00890182"/>
    <w:rsid w:val="00891796"/>
    <w:rsid w:val="00893B81"/>
    <w:rsid w:val="008960A3"/>
    <w:rsid w:val="0089770B"/>
    <w:rsid w:val="008A089E"/>
    <w:rsid w:val="008A0C07"/>
    <w:rsid w:val="008A28C5"/>
    <w:rsid w:val="008A7F15"/>
    <w:rsid w:val="008B396D"/>
    <w:rsid w:val="008B4501"/>
    <w:rsid w:val="008C1271"/>
    <w:rsid w:val="008C25B9"/>
    <w:rsid w:val="008C47F3"/>
    <w:rsid w:val="008D0EF9"/>
    <w:rsid w:val="008D1682"/>
    <w:rsid w:val="008D6626"/>
    <w:rsid w:val="008E084C"/>
    <w:rsid w:val="008E4E60"/>
    <w:rsid w:val="008F0432"/>
    <w:rsid w:val="008F0F1A"/>
    <w:rsid w:val="008F3D8F"/>
    <w:rsid w:val="00900442"/>
    <w:rsid w:val="00907AE4"/>
    <w:rsid w:val="009102A3"/>
    <w:rsid w:val="00913C67"/>
    <w:rsid w:val="00917649"/>
    <w:rsid w:val="009202B3"/>
    <w:rsid w:val="009216D7"/>
    <w:rsid w:val="00922B42"/>
    <w:rsid w:val="00925044"/>
    <w:rsid w:val="00927516"/>
    <w:rsid w:val="00930F7B"/>
    <w:rsid w:val="00931279"/>
    <w:rsid w:val="00931B32"/>
    <w:rsid w:val="00936095"/>
    <w:rsid w:val="009412F3"/>
    <w:rsid w:val="009417A9"/>
    <w:rsid w:val="009472AF"/>
    <w:rsid w:val="009472BB"/>
    <w:rsid w:val="009500E4"/>
    <w:rsid w:val="00951783"/>
    <w:rsid w:val="00952243"/>
    <w:rsid w:val="009544C5"/>
    <w:rsid w:val="00955CE3"/>
    <w:rsid w:val="009576FD"/>
    <w:rsid w:val="00957B06"/>
    <w:rsid w:val="00960D99"/>
    <w:rsid w:val="009611FC"/>
    <w:rsid w:val="009630A6"/>
    <w:rsid w:val="00963878"/>
    <w:rsid w:val="00963C32"/>
    <w:rsid w:val="009700C8"/>
    <w:rsid w:val="00970801"/>
    <w:rsid w:val="00970A39"/>
    <w:rsid w:val="00971850"/>
    <w:rsid w:val="00976113"/>
    <w:rsid w:val="00977175"/>
    <w:rsid w:val="009823AC"/>
    <w:rsid w:val="00984ACB"/>
    <w:rsid w:val="00992701"/>
    <w:rsid w:val="0099493F"/>
    <w:rsid w:val="009A59B5"/>
    <w:rsid w:val="009A5E80"/>
    <w:rsid w:val="009B73D6"/>
    <w:rsid w:val="009B77C8"/>
    <w:rsid w:val="009C0B21"/>
    <w:rsid w:val="009C150A"/>
    <w:rsid w:val="009C241C"/>
    <w:rsid w:val="009C60CA"/>
    <w:rsid w:val="009D2BAF"/>
    <w:rsid w:val="009D488F"/>
    <w:rsid w:val="009D4895"/>
    <w:rsid w:val="009D4F3B"/>
    <w:rsid w:val="009D574F"/>
    <w:rsid w:val="009D575B"/>
    <w:rsid w:val="009D6A17"/>
    <w:rsid w:val="009D75AF"/>
    <w:rsid w:val="009E077A"/>
    <w:rsid w:val="009E155A"/>
    <w:rsid w:val="009E223C"/>
    <w:rsid w:val="009E2E19"/>
    <w:rsid w:val="009E3807"/>
    <w:rsid w:val="009E4E11"/>
    <w:rsid w:val="009E5759"/>
    <w:rsid w:val="009E6338"/>
    <w:rsid w:val="009F18B7"/>
    <w:rsid w:val="009F2CE3"/>
    <w:rsid w:val="009F56FC"/>
    <w:rsid w:val="009F5DDF"/>
    <w:rsid w:val="00A01CA9"/>
    <w:rsid w:val="00A0217F"/>
    <w:rsid w:val="00A02D4D"/>
    <w:rsid w:val="00A02E5C"/>
    <w:rsid w:val="00A06189"/>
    <w:rsid w:val="00A068F8"/>
    <w:rsid w:val="00A0725A"/>
    <w:rsid w:val="00A130CA"/>
    <w:rsid w:val="00A15F6F"/>
    <w:rsid w:val="00A217F1"/>
    <w:rsid w:val="00A246C0"/>
    <w:rsid w:val="00A26CB0"/>
    <w:rsid w:val="00A34895"/>
    <w:rsid w:val="00A351C8"/>
    <w:rsid w:val="00A35E7C"/>
    <w:rsid w:val="00A37A8A"/>
    <w:rsid w:val="00A4223A"/>
    <w:rsid w:val="00A45F97"/>
    <w:rsid w:val="00A478B8"/>
    <w:rsid w:val="00A51393"/>
    <w:rsid w:val="00A520F3"/>
    <w:rsid w:val="00A62272"/>
    <w:rsid w:val="00A629E9"/>
    <w:rsid w:val="00A6693B"/>
    <w:rsid w:val="00A677A3"/>
    <w:rsid w:val="00A71405"/>
    <w:rsid w:val="00A76920"/>
    <w:rsid w:val="00A80291"/>
    <w:rsid w:val="00A854A7"/>
    <w:rsid w:val="00A879D6"/>
    <w:rsid w:val="00A907DE"/>
    <w:rsid w:val="00A92980"/>
    <w:rsid w:val="00A935DB"/>
    <w:rsid w:val="00A9770F"/>
    <w:rsid w:val="00AA5AAB"/>
    <w:rsid w:val="00AA7AD0"/>
    <w:rsid w:val="00AB138E"/>
    <w:rsid w:val="00AB2845"/>
    <w:rsid w:val="00AB4435"/>
    <w:rsid w:val="00AB5243"/>
    <w:rsid w:val="00AB60B1"/>
    <w:rsid w:val="00AC2157"/>
    <w:rsid w:val="00AC2B3D"/>
    <w:rsid w:val="00AC3EAC"/>
    <w:rsid w:val="00AC458E"/>
    <w:rsid w:val="00AC67C2"/>
    <w:rsid w:val="00AD0BFF"/>
    <w:rsid w:val="00AD2F2C"/>
    <w:rsid w:val="00AD57E0"/>
    <w:rsid w:val="00AE0CB0"/>
    <w:rsid w:val="00AE1164"/>
    <w:rsid w:val="00AE5168"/>
    <w:rsid w:val="00AE5BC6"/>
    <w:rsid w:val="00AE6280"/>
    <w:rsid w:val="00AF015B"/>
    <w:rsid w:val="00AF1262"/>
    <w:rsid w:val="00AF3413"/>
    <w:rsid w:val="00AF4A32"/>
    <w:rsid w:val="00AF608A"/>
    <w:rsid w:val="00B0130C"/>
    <w:rsid w:val="00B03638"/>
    <w:rsid w:val="00B04044"/>
    <w:rsid w:val="00B04BFC"/>
    <w:rsid w:val="00B10999"/>
    <w:rsid w:val="00B10B61"/>
    <w:rsid w:val="00B117C8"/>
    <w:rsid w:val="00B12885"/>
    <w:rsid w:val="00B13E69"/>
    <w:rsid w:val="00B1454F"/>
    <w:rsid w:val="00B14EE4"/>
    <w:rsid w:val="00B16393"/>
    <w:rsid w:val="00B206A6"/>
    <w:rsid w:val="00B22A2B"/>
    <w:rsid w:val="00B23FE4"/>
    <w:rsid w:val="00B24B8C"/>
    <w:rsid w:val="00B24F4A"/>
    <w:rsid w:val="00B278A6"/>
    <w:rsid w:val="00B35FD6"/>
    <w:rsid w:val="00B36E10"/>
    <w:rsid w:val="00B406D2"/>
    <w:rsid w:val="00B44ABF"/>
    <w:rsid w:val="00B5041A"/>
    <w:rsid w:val="00B524C5"/>
    <w:rsid w:val="00B53A65"/>
    <w:rsid w:val="00B56A53"/>
    <w:rsid w:val="00B56B4C"/>
    <w:rsid w:val="00B576E9"/>
    <w:rsid w:val="00B5799A"/>
    <w:rsid w:val="00B6027C"/>
    <w:rsid w:val="00B64A2E"/>
    <w:rsid w:val="00B73454"/>
    <w:rsid w:val="00B81A7C"/>
    <w:rsid w:val="00B82AA3"/>
    <w:rsid w:val="00B83CA8"/>
    <w:rsid w:val="00B83D38"/>
    <w:rsid w:val="00B83F50"/>
    <w:rsid w:val="00B84433"/>
    <w:rsid w:val="00B845E9"/>
    <w:rsid w:val="00B86E6E"/>
    <w:rsid w:val="00B900E7"/>
    <w:rsid w:val="00B904D2"/>
    <w:rsid w:val="00B937BC"/>
    <w:rsid w:val="00B9478F"/>
    <w:rsid w:val="00B9558A"/>
    <w:rsid w:val="00B95C51"/>
    <w:rsid w:val="00B97B98"/>
    <w:rsid w:val="00BA0BCF"/>
    <w:rsid w:val="00BA58EF"/>
    <w:rsid w:val="00BB0FBA"/>
    <w:rsid w:val="00BB2AB3"/>
    <w:rsid w:val="00BB39BA"/>
    <w:rsid w:val="00BB44C5"/>
    <w:rsid w:val="00BC289A"/>
    <w:rsid w:val="00BC325E"/>
    <w:rsid w:val="00BD155D"/>
    <w:rsid w:val="00BD1C7E"/>
    <w:rsid w:val="00BD2D9D"/>
    <w:rsid w:val="00BE12D9"/>
    <w:rsid w:val="00BE13B3"/>
    <w:rsid w:val="00BE4162"/>
    <w:rsid w:val="00BE64AF"/>
    <w:rsid w:val="00C0084D"/>
    <w:rsid w:val="00C00BE1"/>
    <w:rsid w:val="00C02BAC"/>
    <w:rsid w:val="00C15E18"/>
    <w:rsid w:val="00C22870"/>
    <w:rsid w:val="00C22919"/>
    <w:rsid w:val="00C22AFC"/>
    <w:rsid w:val="00C24CCD"/>
    <w:rsid w:val="00C25FAC"/>
    <w:rsid w:val="00C26F62"/>
    <w:rsid w:val="00C27AFE"/>
    <w:rsid w:val="00C34408"/>
    <w:rsid w:val="00C37E19"/>
    <w:rsid w:val="00C4083F"/>
    <w:rsid w:val="00C42218"/>
    <w:rsid w:val="00C42EF9"/>
    <w:rsid w:val="00C445D1"/>
    <w:rsid w:val="00C44C9C"/>
    <w:rsid w:val="00C53CD8"/>
    <w:rsid w:val="00C54343"/>
    <w:rsid w:val="00C556E2"/>
    <w:rsid w:val="00C57983"/>
    <w:rsid w:val="00C6405D"/>
    <w:rsid w:val="00C64C6D"/>
    <w:rsid w:val="00C67A49"/>
    <w:rsid w:val="00C73A39"/>
    <w:rsid w:val="00C7512B"/>
    <w:rsid w:val="00C81EA8"/>
    <w:rsid w:val="00C83632"/>
    <w:rsid w:val="00C908E4"/>
    <w:rsid w:val="00C96D49"/>
    <w:rsid w:val="00CB1B7C"/>
    <w:rsid w:val="00CB25B3"/>
    <w:rsid w:val="00CB415B"/>
    <w:rsid w:val="00CB4993"/>
    <w:rsid w:val="00CB4C80"/>
    <w:rsid w:val="00CC33B4"/>
    <w:rsid w:val="00CC3A55"/>
    <w:rsid w:val="00CC45B5"/>
    <w:rsid w:val="00CC4681"/>
    <w:rsid w:val="00CC51D7"/>
    <w:rsid w:val="00CD0EEB"/>
    <w:rsid w:val="00CD336F"/>
    <w:rsid w:val="00CD3643"/>
    <w:rsid w:val="00CD543B"/>
    <w:rsid w:val="00CD75C4"/>
    <w:rsid w:val="00CD7C23"/>
    <w:rsid w:val="00CD7FF3"/>
    <w:rsid w:val="00CE04C5"/>
    <w:rsid w:val="00CE2D0F"/>
    <w:rsid w:val="00CF0B48"/>
    <w:rsid w:val="00CF154B"/>
    <w:rsid w:val="00CF1C15"/>
    <w:rsid w:val="00CF1EF5"/>
    <w:rsid w:val="00CF60D3"/>
    <w:rsid w:val="00D001FD"/>
    <w:rsid w:val="00D04D21"/>
    <w:rsid w:val="00D04F26"/>
    <w:rsid w:val="00D062D3"/>
    <w:rsid w:val="00D10AFE"/>
    <w:rsid w:val="00D12ABF"/>
    <w:rsid w:val="00D12E5F"/>
    <w:rsid w:val="00D139A2"/>
    <w:rsid w:val="00D1484B"/>
    <w:rsid w:val="00D20018"/>
    <w:rsid w:val="00D21303"/>
    <w:rsid w:val="00D21DEE"/>
    <w:rsid w:val="00D260AB"/>
    <w:rsid w:val="00D30C1D"/>
    <w:rsid w:val="00D36E7F"/>
    <w:rsid w:val="00D370C5"/>
    <w:rsid w:val="00D40183"/>
    <w:rsid w:val="00D4115D"/>
    <w:rsid w:val="00D411E2"/>
    <w:rsid w:val="00D45CF2"/>
    <w:rsid w:val="00D46270"/>
    <w:rsid w:val="00D466AB"/>
    <w:rsid w:val="00D50683"/>
    <w:rsid w:val="00D533AC"/>
    <w:rsid w:val="00D55F91"/>
    <w:rsid w:val="00D60743"/>
    <w:rsid w:val="00D60BAC"/>
    <w:rsid w:val="00D66291"/>
    <w:rsid w:val="00D72449"/>
    <w:rsid w:val="00D754D6"/>
    <w:rsid w:val="00D8440F"/>
    <w:rsid w:val="00D8506A"/>
    <w:rsid w:val="00D85088"/>
    <w:rsid w:val="00D851C1"/>
    <w:rsid w:val="00D853F2"/>
    <w:rsid w:val="00D86301"/>
    <w:rsid w:val="00D87555"/>
    <w:rsid w:val="00D87DC7"/>
    <w:rsid w:val="00D90DF1"/>
    <w:rsid w:val="00D91913"/>
    <w:rsid w:val="00D936ED"/>
    <w:rsid w:val="00D93872"/>
    <w:rsid w:val="00D944EA"/>
    <w:rsid w:val="00D95FFD"/>
    <w:rsid w:val="00DA1319"/>
    <w:rsid w:val="00DA593B"/>
    <w:rsid w:val="00DB239B"/>
    <w:rsid w:val="00DB3568"/>
    <w:rsid w:val="00DB3AD5"/>
    <w:rsid w:val="00DC1595"/>
    <w:rsid w:val="00DC273F"/>
    <w:rsid w:val="00DC401F"/>
    <w:rsid w:val="00DC430E"/>
    <w:rsid w:val="00DD0214"/>
    <w:rsid w:val="00DD2702"/>
    <w:rsid w:val="00DD3C0B"/>
    <w:rsid w:val="00DD62EF"/>
    <w:rsid w:val="00DE07F3"/>
    <w:rsid w:val="00DE3087"/>
    <w:rsid w:val="00DE3788"/>
    <w:rsid w:val="00DE7E07"/>
    <w:rsid w:val="00DF056F"/>
    <w:rsid w:val="00DF0794"/>
    <w:rsid w:val="00DF186F"/>
    <w:rsid w:val="00DF586A"/>
    <w:rsid w:val="00DF5AFE"/>
    <w:rsid w:val="00DF7563"/>
    <w:rsid w:val="00E02027"/>
    <w:rsid w:val="00E03279"/>
    <w:rsid w:val="00E064B7"/>
    <w:rsid w:val="00E1131B"/>
    <w:rsid w:val="00E12A8F"/>
    <w:rsid w:val="00E137C8"/>
    <w:rsid w:val="00E13B31"/>
    <w:rsid w:val="00E14172"/>
    <w:rsid w:val="00E15368"/>
    <w:rsid w:val="00E16B53"/>
    <w:rsid w:val="00E1776D"/>
    <w:rsid w:val="00E21F16"/>
    <w:rsid w:val="00E26D43"/>
    <w:rsid w:val="00E27230"/>
    <w:rsid w:val="00E3006C"/>
    <w:rsid w:val="00E3050B"/>
    <w:rsid w:val="00E31D8D"/>
    <w:rsid w:val="00E37202"/>
    <w:rsid w:val="00E41C69"/>
    <w:rsid w:val="00E4463F"/>
    <w:rsid w:val="00E45A69"/>
    <w:rsid w:val="00E47163"/>
    <w:rsid w:val="00E52253"/>
    <w:rsid w:val="00E5344C"/>
    <w:rsid w:val="00E543A9"/>
    <w:rsid w:val="00E5444F"/>
    <w:rsid w:val="00E54F0A"/>
    <w:rsid w:val="00E57AED"/>
    <w:rsid w:val="00E60D5F"/>
    <w:rsid w:val="00E661B1"/>
    <w:rsid w:val="00E6640A"/>
    <w:rsid w:val="00E67A8E"/>
    <w:rsid w:val="00E67BBC"/>
    <w:rsid w:val="00E67C26"/>
    <w:rsid w:val="00E704BC"/>
    <w:rsid w:val="00E7398A"/>
    <w:rsid w:val="00E74E1C"/>
    <w:rsid w:val="00E77AC3"/>
    <w:rsid w:val="00E77EA9"/>
    <w:rsid w:val="00E85B9B"/>
    <w:rsid w:val="00E85DA8"/>
    <w:rsid w:val="00E92160"/>
    <w:rsid w:val="00E94915"/>
    <w:rsid w:val="00E94B01"/>
    <w:rsid w:val="00E97751"/>
    <w:rsid w:val="00EA7356"/>
    <w:rsid w:val="00EA7A91"/>
    <w:rsid w:val="00EB19C8"/>
    <w:rsid w:val="00EB26D1"/>
    <w:rsid w:val="00EB5069"/>
    <w:rsid w:val="00EB5333"/>
    <w:rsid w:val="00EC3533"/>
    <w:rsid w:val="00EC43B6"/>
    <w:rsid w:val="00EC4EA4"/>
    <w:rsid w:val="00ED0C9E"/>
    <w:rsid w:val="00ED2566"/>
    <w:rsid w:val="00ED6629"/>
    <w:rsid w:val="00EE21C3"/>
    <w:rsid w:val="00EE2BD2"/>
    <w:rsid w:val="00EE2DF1"/>
    <w:rsid w:val="00EE7F92"/>
    <w:rsid w:val="00EF0084"/>
    <w:rsid w:val="00EF0B3B"/>
    <w:rsid w:val="00EF0D1F"/>
    <w:rsid w:val="00EF662D"/>
    <w:rsid w:val="00F0131B"/>
    <w:rsid w:val="00F013BF"/>
    <w:rsid w:val="00F02208"/>
    <w:rsid w:val="00F05F88"/>
    <w:rsid w:val="00F07A0C"/>
    <w:rsid w:val="00F117DC"/>
    <w:rsid w:val="00F16001"/>
    <w:rsid w:val="00F168B6"/>
    <w:rsid w:val="00F16B2D"/>
    <w:rsid w:val="00F20E9F"/>
    <w:rsid w:val="00F22AE1"/>
    <w:rsid w:val="00F25007"/>
    <w:rsid w:val="00F305B6"/>
    <w:rsid w:val="00F347A9"/>
    <w:rsid w:val="00F36FDE"/>
    <w:rsid w:val="00F4088B"/>
    <w:rsid w:val="00F4397E"/>
    <w:rsid w:val="00F44433"/>
    <w:rsid w:val="00F50009"/>
    <w:rsid w:val="00F51114"/>
    <w:rsid w:val="00F619D8"/>
    <w:rsid w:val="00F6275F"/>
    <w:rsid w:val="00F62B33"/>
    <w:rsid w:val="00F63317"/>
    <w:rsid w:val="00F64322"/>
    <w:rsid w:val="00F66A02"/>
    <w:rsid w:val="00F67F39"/>
    <w:rsid w:val="00F701A4"/>
    <w:rsid w:val="00F7037A"/>
    <w:rsid w:val="00F75020"/>
    <w:rsid w:val="00F75EC7"/>
    <w:rsid w:val="00F8146D"/>
    <w:rsid w:val="00F902F1"/>
    <w:rsid w:val="00F927D5"/>
    <w:rsid w:val="00F95800"/>
    <w:rsid w:val="00F9584D"/>
    <w:rsid w:val="00FA010F"/>
    <w:rsid w:val="00FA13E0"/>
    <w:rsid w:val="00FA3273"/>
    <w:rsid w:val="00FA4533"/>
    <w:rsid w:val="00FA58B3"/>
    <w:rsid w:val="00FA68EF"/>
    <w:rsid w:val="00FA7AB3"/>
    <w:rsid w:val="00FB1103"/>
    <w:rsid w:val="00FB49D9"/>
    <w:rsid w:val="00FB6263"/>
    <w:rsid w:val="00FC1E5C"/>
    <w:rsid w:val="00FC21FB"/>
    <w:rsid w:val="00FC30CF"/>
    <w:rsid w:val="00FC51DF"/>
    <w:rsid w:val="00FD14B3"/>
    <w:rsid w:val="00FD1938"/>
    <w:rsid w:val="00FE1BB8"/>
    <w:rsid w:val="00FE2053"/>
    <w:rsid w:val="00FE39C6"/>
    <w:rsid w:val="00FE5AE8"/>
    <w:rsid w:val="00FE5BE0"/>
    <w:rsid w:val="00FE7219"/>
    <w:rsid w:val="00FE79DE"/>
    <w:rsid w:val="00FF0DD6"/>
    <w:rsid w:val="00FF15D3"/>
    <w:rsid w:val="00FF3EC2"/>
    <w:rsid w:val="00FF559F"/>
    <w:rsid w:val="00FF5B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4050195"/>
  <w15:docId w15:val="{6AB54B55-0B42-4DED-9C03-32C15825A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EB26D1"/>
    <w:pPr>
      <w:spacing w:after="120"/>
    </w:pPr>
    <w:rPr>
      <w:rFonts w:eastAsiaTheme="minorEastAsia"/>
      <w:sz w:val="20"/>
      <w:szCs w:val="20"/>
      <w:lang w:bidi="en-US"/>
    </w:rPr>
  </w:style>
  <w:style w:type="paragraph" w:styleId="Heading1">
    <w:name w:val="heading 1"/>
    <w:basedOn w:val="Normal"/>
    <w:next w:val="Normal"/>
    <w:link w:val="Heading1Char"/>
    <w:uiPriority w:val="9"/>
    <w:qFormat/>
    <w:rsid w:val="00EB26D1"/>
    <w:pPr>
      <w:numPr>
        <w:numId w:val="1"/>
      </w:num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ind w:hanging="720"/>
      <w:outlineLvl w:val="0"/>
    </w:pPr>
    <w:rPr>
      <w:b/>
      <w:bCs/>
      <w:smallCaps/>
      <w:color w:val="FFFFFF" w:themeColor="background1"/>
      <w:spacing w:val="15"/>
      <w:sz w:val="22"/>
      <w:szCs w:val="22"/>
      <w:lang w:val="en-GB"/>
    </w:rPr>
  </w:style>
  <w:style w:type="paragraph" w:styleId="Heading2">
    <w:name w:val="heading 2"/>
    <w:basedOn w:val="Normal"/>
    <w:next w:val="Normal"/>
    <w:link w:val="Heading2Char"/>
    <w:uiPriority w:val="9"/>
    <w:unhideWhenUsed/>
    <w:qFormat/>
    <w:rsid w:val="00EB26D1"/>
    <w:pPr>
      <w:numPr>
        <w:ilvl w:val="1"/>
        <w:numId w:val="1"/>
      </w:num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ind w:left="709" w:hanging="709"/>
      <w:outlineLvl w:val="1"/>
    </w:pPr>
    <w:rPr>
      <w:smallCaps/>
      <w:spacing w:val="15"/>
      <w:sz w:val="22"/>
      <w:szCs w:val="22"/>
      <w:lang w:val="en-GB"/>
    </w:rPr>
  </w:style>
  <w:style w:type="paragraph" w:styleId="Heading3">
    <w:name w:val="heading 3"/>
    <w:basedOn w:val="Normal"/>
    <w:next w:val="Normal"/>
    <w:link w:val="Heading3Char"/>
    <w:uiPriority w:val="9"/>
    <w:unhideWhenUsed/>
    <w:qFormat/>
    <w:rsid w:val="00334405"/>
    <w:pPr>
      <w:numPr>
        <w:ilvl w:val="2"/>
        <w:numId w:val="1"/>
      </w:numPr>
      <w:pBdr>
        <w:top w:val="single" w:sz="6" w:space="2" w:color="4F81BD" w:themeColor="accent1"/>
        <w:left w:val="single" w:sz="6" w:space="2" w:color="4F81BD" w:themeColor="accent1"/>
      </w:pBdr>
      <w:spacing w:before="300" w:after="0"/>
      <w:ind w:left="709" w:hanging="709"/>
      <w:outlineLvl w:val="2"/>
    </w:pPr>
    <w:rPr>
      <w:smallCaps/>
      <w:color w:val="243F60" w:themeColor="accent1" w:themeShade="7F"/>
      <w:spacing w:val="15"/>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B26D1"/>
    <w:rPr>
      <w:rFonts w:eastAsiaTheme="minorEastAsia"/>
      <w:b/>
      <w:bCs/>
      <w:smallCaps/>
      <w:color w:val="FFFFFF" w:themeColor="background1"/>
      <w:spacing w:val="15"/>
      <w:shd w:val="clear" w:color="auto" w:fill="4F81BD" w:themeFill="accent1"/>
      <w:lang w:val="en-GB" w:bidi="en-US"/>
    </w:rPr>
  </w:style>
  <w:style w:type="character" w:customStyle="1" w:styleId="Heading2Char">
    <w:name w:val="Heading 2 Char"/>
    <w:basedOn w:val="DefaultParagraphFont"/>
    <w:link w:val="Heading2"/>
    <w:uiPriority w:val="9"/>
    <w:rsid w:val="00EB26D1"/>
    <w:rPr>
      <w:rFonts w:eastAsiaTheme="minorEastAsia"/>
      <w:smallCaps/>
      <w:spacing w:val="15"/>
      <w:shd w:val="clear" w:color="auto" w:fill="DBE5F1" w:themeFill="accent1" w:themeFillTint="33"/>
      <w:lang w:val="en-GB" w:bidi="en-US"/>
    </w:rPr>
  </w:style>
  <w:style w:type="character" w:customStyle="1" w:styleId="Heading3Char">
    <w:name w:val="Heading 3 Char"/>
    <w:basedOn w:val="DefaultParagraphFont"/>
    <w:link w:val="Heading3"/>
    <w:uiPriority w:val="9"/>
    <w:rsid w:val="00334405"/>
    <w:rPr>
      <w:rFonts w:eastAsiaTheme="minorEastAsia"/>
      <w:smallCaps/>
      <w:color w:val="243F60" w:themeColor="accent1" w:themeShade="7F"/>
      <w:spacing w:val="15"/>
      <w:lang w:val="en-GB" w:bidi="en-US"/>
    </w:rPr>
  </w:style>
  <w:style w:type="paragraph" w:styleId="NoSpacing">
    <w:name w:val="No Spacing"/>
    <w:basedOn w:val="Normal"/>
    <w:link w:val="NoSpacingChar"/>
    <w:uiPriority w:val="1"/>
    <w:qFormat/>
    <w:rsid w:val="00334405"/>
    <w:pPr>
      <w:spacing w:after="0" w:line="240" w:lineRule="auto"/>
    </w:pPr>
  </w:style>
  <w:style w:type="character" w:customStyle="1" w:styleId="NoSpacingChar">
    <w:name w:val="No Spacing Char"/>
    <w:basedOn w:val="DefaultParagraphFont"/>
    <w:link w:val="NoSpacing"/>
    <w:uiPriority w:val="1"/>
    <w:rsid w:val="00334405"/>
    <w:rPr>
      <w:rFonts w:eastAsiaTheme="minorEastAsia"/>
      <w:sz w:val="20"/>
      <w:szCs w:val="20"/>
      <w:lang w:bidi="en-US"/>
    </w:rPr>
  </w:style>
  <w:style w:type="paragraph" w:styleId="Title">
    <w:name w:val="Title"/>
    <w:basedOn w:val="Normal"/>
    <w:next w:val="Normal"/>
    <w:link w:val="TitleChar"/>
    <w:uiPriority w:val="10"/>
    <w:qFormat/>
    <w:rsid w:val="00334405"/>
    <w:pPr>
      <w:spacing w:before="720"/>
    </w:pPr>
    <w:rPr>
      <w:smallCaps/>
      <w:color w:val="4F81BD" w:themeColor="accent1"/>
      <w:spacing w:val="10"/>
      <w:kern w:val="28"/>
      <w:sz w:val="52"/>
      <w:szCs w:val="52"/>
      <w:lang w:val="en-GB"/>
    </w:rPr>
  </w:style>
  <w:style w:type="character" w:customStyle="1" w:styleId="TitleChar">
    <w:name w:val="Title Char"/>
    <w:basedOn w:val="DefaultParagraphFont"/>
    <w:link w:val="Title"/>
    <w:uiPriority w:val="10"/>
    <w:rsid w:val="00334405"/>
    <w:rPr>
      <w:rFonts w:eastAsiaTheme="minorEastAsia"/>
      <w:smallCaps/>
      <w:color w:val="4F81BD" w:themeColor="accent1"/>
      <w:spacing w:val="10"/>
      <w:kern w:val="28"/>
      <w:sz w:val="52"/>
      <w:szCs w:val="52"/>
      <w:lang w:val="en-GB" w:bidi="en-US"/>
    </w:rPr>
  </w:style>
  <w:style w:type="paragraph" w:styleId="Subtitle">
    <w:name w:val="Subtitle"/>
    <w:basedOn w:val="Normal"/>
    <w:next w:val="Normal"/>
    <w:link w:val="SubtitleChar"/>
    <w:uiPriority w:val="11"/>
    <w:qFormat/>
    <w:rsid w:val="00334405"/>
    <w:pPr>
      <w:spacing w:after="1000" w:line="240" w:lineRule="auto"/>
    </w:pPr>
    <w:rPr>
      <w:smallCaps/>
      <w:color w:val="595959" w:themeColor="text1" w:themeTint="A6"/>
      <w:spacing w:val="10"/>
      <w:sz w:val="24"/>
      <w:szCs w:val="24"/>
      <w:lang w:val="en-GB"/>
    </w:rPr>
  </w:style>
  <w:style w:type="character" w:customStyle="1" w:styleId="SubtitleChar">
    <w:name w:val="Subtitle Char"/>
    <w:basedOn w:val="DefaultParagraphFont"/>
    <w:link w:val="Subtitle"/>
    <w:uiPriority w:val="11"/>
    <w:rsid w:val="00334405"/>
    <w:rPr>
      <w:rFonts w:eastAsiaTheme="minorEastAsia"/>
      <w:smallCaps/>
      <w:color w:val="595959" w:themeColor="text1" w:themeTint="A6"/>
      <w:spacing w:val="10"/>
      <w:sz w:val="24"/>
      <w:szCs w:val="24"/>
      <w:lang w:val="en-GB" w:bidi="en-US"/>
    </w:rPr>
  </w:style>
  <w:style w:type="paragraph" w:styleId="Header">
    <w:name w:val="header"/>
    <w:basedOn w:val="Normal"/>
    <w:link w:val="HeaderChar"/>
    <w:uiPriority w:val="99"/>
    <w:unhideWhenUsed/>
    <w:rsid w:val="003344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4405"/>
    <w:rPr>
      <w:rFonts w:eastAsiaTheme="minorEastAsia"/>
      <w:sz w:val="20"/>
      <w:szCs w:val="20"/>
      <w:lang w:bidi="en-US"/>
    </w:rPr>
  </w:style>
  <w:style w:type="paragraph" w:styleId="Footer">
    <w:name w:val="footer"/>
    <w:basedOn w:val="Normal"/>
    <w:link w:val="FooterChar"/>
    <w:uiPriority w:val="99"/>
    <w:unhideWhenUsed/>
    <w:rsid w:val="003344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4405"/>
    <w:rPr>
      <w:rFonts w:eastAsiaTheme="minorEastAsia"/>
      <w:sz w:val="20"/>
      <w:szCs w:val="20"/>
      <w:lang w:bidi="en-US"/>
    </w:rPr>
  </w:style>
  <w:style w:type="paragraph" w:styleId="ListParagraph">
    <w:name w:val="List Paragraph"/>
    <w:basedOn w:val="Normal"/>
    <w:uiPriority w:val="34"/>
    <w:qFormat/>
    <w:rsid w:val="00205970"/>
    <w:pPr>
      <w:ind w:left="720"/>
      <w:contextualSpacing/>
    </w:pPr>
  </w:style>
  <w:style w:type="character" w:styleId="CommentReference">
    <w:name w:val="annotation reference"/>
    <w:basedOn w:val="DefaultParagraphFont"/>
    <w:uiPriority w:val="99"/>
    <w:semiHidden/>
    <w:unhideWhenUsed/>
    <w:rsid w:val="00FC1E5C"/>
    <w:rPr>
      <w:sz w:val="18"/>
      <w:szCs w:val="18"/>
    </w:rPr>
  </w:style>
  <w:style w:type="paragraph" w:styleId="CommentText">
    <w:name w:val="annotation text"/>
    <w:basedOn w:val="Normal"/>
    <w:link w:val="CommentTextChar"/>
    <w:uiPriority w:val="99"/>
    <w:unhideWhenUsed/>
    <w:rsid w:val="00FC1E5C"/>
    <w:pPr>
      <w:spacing w:line="240" w:lineRule="auto"/>
    </w:pPr>
    <w:rPr>
      <w:sz w:val="24"/>
      <w:szCs w:val="24"/>
    </w:rPr>
  </w:style>
  <w:style w:type="character" w:customStyle="1" w:styleId="CommentTextChar">
    <w:name w:val="Comment Text Char"/>
    <w:basedOn w:val="DefaultParagraphFont"/>
    <w:link w:val="CommentText"/>
    <w:uiPriority w:val="99"/>
    <w:rsid w:val="00FC1E5C"/>
    <w:rPr>
      <w:rFonts w:eastAsiaTheme="minorEastAsia"/>
      <w:sz w:val="24"/>
      <w:szCs w:val="24"/>
      <w:lang w:bidi="en-US"/>
    </w:rPr>
  </w:style>
  <w:style w:type="paragraph" w:styleId="CommentSubject">
    <w:name w:val="annotation subject"/>
    <w:basedOn w:val="CommentText"/>
    <w:next w:val="CommentText"/>
    <w:link w:val="CommentSubjectChar"/>
    <w:uiPriority w:val="99"/>
    <w:semiHidden/>
    <w:unhideWhenUsed/>
    <w:rsid w:val="00FC1E5C"/>
    <w:rPr>
      <w:b/>
      <w:bCs/>
      <w:sz w:val="20"/>
      <w:szCs w:val="20"/>
    </w:rPr>
  </w:style>
  <w:style w:type="character" w:customStyle="1" w:styleId="CommentSubjectChar">
    <w:name w:val="Comment Subject Char"/>
    <w:basedOn w:val="CommentTextChar"/>
    <w:link w:val="CommentSubject"/>
    <w:uiPriority w:val="99"/>
    <w:semiHidden/>
    <w:rsid w:val="00FC1E5C"/>
    <w:rPr>
      <w:rFonts w:eastAsiaTheme="minorEastAsia"/>
      <w:b/>
      <w:bCs/>
      <w:sz w:val="20"/>
      <w:szCs w:val="20"/>
      <w:lang w:bidi="en-US"/>
    </w:rPr>
  </w:style>
  <w:style w:type="paragraph" w:styleId="BalloonText">
    <w:name w:val="Balloon Text"/>
    <w:basedOn w:val="Normal"/>
    <w:link w:val="BalloonTextChar"/>
    <w:uiPriority w:val="99"/>
    <w:semiHidden/>
    <w:unhideWhenUsed/>
    <w:rsid w:val="00FC1E5C"/>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C1E5C"/>
    <w:rPr>
      <w:rFonts w:ascii="Lucida Grande" w:eastAsiaTheme="minorEastAsia" w:hAnsi="Lucida Grande" w:cs="Lucida Grande"/>
      <w:sz w:val="18"/>
      <w:szCs w:val="18"/>
      <w:lang w:bidi="en-US"/>
    </w:rPr>
  </w:style>
  <w:style w:type="paragraph" w:styleId="Revision">
    <w:name w:val="Revision"/>
    <w:hidden/>
    <w:uiPriority w:val="99"/>
    <w:semiHidden/>
    <w:rsid w:val="00754C2D"/>
    <w:pPr>
      <w:spacing w:after="0" w:line="240" w:lineRule="auto"/>
    </w:pPr>
    <w:rPr>
      <w:rFonts w:eastAsiaTheme="minorEastAsia"/>
      <w:sz w:val="20"/>
      <w:szCs w:val="20"/>
      <w:lang w:bidi="en-US"/>
    </w:rPr>
  </w:style>
  <w:style w:type="paragraph" w:styleId="DocumentMap">
    <w:name w:val="Document Map"/>
    <w:basedOn w:val="Normal"/>
    <w:link w:val="DocumentMapChar"/>
    <w:uiPriority w:val="99"/>
    <w:semiHidden/>
    <w:unhideWhenUsed/>
    <w:rsid w:val="00A34895"/>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A34895"/>
    <w:rPr>
      <w:rFonts w:ascii="Lucida Grande" w:eastAsiaTheme="minorEastAsia" w:hAnsi="Lucida Grande" w:cs="Lucida Grande"/>
      <w:sz w:val="24"/>
      <w:szCs w:val="24"/>
      <w:lang w:bidi="en-US"/>
    </w:rPr>
  </w:style>
  <w:style w:type="table" w:styleId="TableGrid">
    <w:name w:val="Table Grid"/>
    <w:basedOn w:val="TableNormal"/>
    <w:uiPriority w:val="59"/>
    <w:rsid w:val="000E74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F0733"/>
    <w:rPr>
      <w:color w:val="0000FF" w:themeColor="hyperlink"/>
      <w:u w:val="single"/>
    </w:rPr>
  </w:style>
  <w:style w:type="character" w:styleId="PageNumber">
    <w:name w:val="page number"/>
    <w:basedOn w:val="DefaultParagraphFont"/>
    <w:uiPriority w:val="99"/>
    <w:semiHidden/>
    <w:unhideWhenUsed/>
    <w:rsid w:val="000E19F8"/>
  </w:style>
  <w:style w:type="paragraph" w:styleId="FootnoteText">
    <w:name w:val="footnote text"/>
    <w:basedOn w:val="Normal"/>
    <w:link w:val="FootnoteTextChar"/>
    <w:uiPriority w:val="99"/>
    <w:unhideWhenUsed/>
    <w:rsid w:val="000D12D1"/>
    <w:pPr>
      <w:spacing w:after="0" w:line="240" w:lineRule="auto"/>
    </w:pPr>
    <w:rPr>
      <w:sz w:val="24"/>
      <w:szCs w:val="24"/>
    </w:rPr>
  </w:style>
  <w:style w:type="character" w:customStyle="1" w:styleId="FootnoteTextChar">
    <w:name w:val="Footnote Text Char"/>
    <w:basedOn w:val="DefaultParagraphFont"/>
    <w:link w:val="FootnoteText"/>
    <w:uiPriority w:val="99"/>
    <w:rsid w:val="000D12D1"/>
    <w:rPr>
      <w:rFonts w:eastAsiaTheme="minorEastAsia"/>
      <w:sz w:val="24"/>
      <w:szCs w:val="24"/>
      <w:lang w:bidi="en-US"/>
    </w:rPr>
  </w:style>
  <w:style w:type="character" w:styleId="FootnoteReference">
    <w:name w:val="footnote reference"/>
    <w:basedOn w:val="DefaultParagraphFont"/>
    <w:uiPriority w:val="99"/>
    <w:unhideWhenUsed/>
    <w:rsid w:val="000D12D1"/>
    <w:rPr>
      <w:vertAlign w:val="superscript"/>
    </w:rPr>
  </w:style>
  <w:style w:type="character" w:styleId="FollowedHyperlink">
    <w:name w:val="FollowedHyperlink"/>
    <w:basedOn w:val="DefaultParagraphFont"/>
    <w:uiPriority w:val="99"/>
    <w:semiHidden/>
    <w:unhideWhenUsed/>
    <w:rsid w:val="004A3E3B"/>
    <w:rPr>
      <w:color w:val="800080" w:themeColor="followedHyperlink"/>
      <w:u w:val="single"/>
    </w:rPr>
  </w:style>
  <w:style w:type="character" w:customStyle="1" w:styleId="UnresolvedMention1">
    <w:name w:val="Unresolved Mention1"/>
    <w:basedOn w:val="DefaultParagraphFont"/>
    <w:uiPriority w:val="99"/>
    <w:rsid w:val="00D139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604226">
      <w:bodyDiv w:val="1"/>
      <w:marLeft w:val="0"/>
      <w:marRight w:val="0"/>
      <w:marTop w:val="0"/>
      <w:marBottom w:val="0"/>
      <w:divBdr>
        <w:top w:val="none" w:sz="0" w:space="0" w:color="auto"/>
        <w:left w:val="none" w:sz="0" w:space="0" w:color="auto"/>
        <w:bottom w:val="none" w:sz="0" w:space="0" w:color="auto"/>
        <w:right w:val="none" w:sz="0" w:space="0" w:color="auto"/>
      </w:divBdr>
    </w:div>
    <w:div w:id="793062309">
      <w:bodyDiv w:val="1"/>
      <w:marLeft w:val="0"/>
      <w:marRight w:val="0"/>
      <w:marTop w:val="0"/>
      <w:marBottom w:val="0"/>
      <w:divBdr>
        <w:top w:val="none" w:sz="0" w:space="0" w:color="auto"/>
        <w:left w:val="none" w:sz="0" w:space="0" w:color="auto"/>
        <w:bottom w:val="none" w:sz="0" w:space="0" w:color="auto"/>
        <w:right w:val="none" w:sz="0" w:space="0" w:color="auto"/>
      </w:divBdr>
    </w:div>
    <w:div w:id="1052727341">
      <w:bodyDiv w:val="1"/>
      <w:marLeft w:val="0"/>
      <w:marRight w:val="0"/>
      <w:marTop w:val="0"/>
      <w:marBottom w:val="0"/>
      <w:divBdr>
        <w:top w:val="none" w:sz="0" w:space="0" w:color="auto"/>
        <w:left w:val="none" w:sz="0" w:space="0" w:color="auto"/>
        <w:bottom w:val="none" w:sz="0" w:space="0" w:color="auto"/>
        <w:right w:val="none" w:sz="0" w:space="0" w:color="auto"/>
      </w:divBdr>
    </w:div>
    <w:div w:id="1892038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dg6monitoring.org/indicators/target-6b/" TargetMode="External"/><Relationship Id="rId18" Type="http://schemas.openxmlformats.org/officeDocument/2006/relationships/hyperlink" Target="http://iwrmdataportal.unepdhi.org/"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iwrmdataportal.unepdhi.org/" TargetMode="External"/><Relationship Id="rId17" Type="http://schemas.openxmlformats.org/officeDocument/2006/relationships/hyperlink" Target="https://www.unwater.org/institution/un-office-for-disaster-risk-reduction-unisdr/" TargetMode="External"/><Relationship Id="rId2" Type="http://schemas.openxmlformats.org/officeDocument/2006/relationships/customXml" Target="../customXml/item2.xml"/><Relationship Id="rId16" Type="http://schemas.openxmlformats.org/officeDocument/2006/relationships/hyperlink" Target="https://www.sdg6monitoring.org/indicators/target-66/" TargetMode="External"/><Relationship Id="rId20" Type="http://schemas.openxmlformats.org/officeDocument/2006/relationships/hyperlink" Target="http://iwrmdataportal.unepdhi.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dg6monitoring.org/indicators/target-63/"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iwrmsdg651@un.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dg6monitoring.org/indicators/target-64/" TargetMode="External"/><Relationship Id="rId22"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iwrmdataportal.unepdhi.or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MOuser\Dropbox\UN-Water\31%20GEMI\Work\GEMI.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3.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13CC2D-0CE9-42BF-84F2-E3AD7E790927}">
  <ds:schemaRefs>
    <ds:schemaRef ds:uri="http://schemas.microsoft.com/sharepoint/v3/contenttype/forms"/>
  </ds:schemaRefs>
</ds:datastoreItem>
</file>

<file path=customXml/itemProps2.xml><?xml version="1.0" encoding="utf-8"?>
<ds:datastoreItem xmlns:ds="http://schemas.openxmlformats.org/officeDocument/2006/customXml" ds:itemID="{2C058579-EDAA-4560-9682-A74572AD0D8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DDC1199-1CE7-4533-A57C-E9463CF8CAC8}"/>
</file>

<file path=customXml/itemProps4.xml><?xml version="1.0" encoding="utf-8"?>
<ds:datastoreItem xmlns:ds="http://schemas.openxmlformats.org/officeDocument/2006/customXml" ds:itemID="{3EEEC7AA-FC5D-4A1A-B1C5-AFD318601F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GEMI</Template>
  <TotalTime>2</TotalTime>
  <Pages>8</Pages>
  <Words>3456</Words>
  <Characters>21087</Characters>
  <Application>Microsoft Office Word</Application>
  <DocSecurity>0</DocSecurity>
  <Lines>175</Lines>
  <Paragraphs>48</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24495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Maria Schade</dc:creator>
  <cp:lastModifiedBy>Maija Bertule</cp:lastModifiedBy>
  <cp:revision>3</cp:revision>
  <cp:lastPrinted>2019-09-20T11:59:00Z</cp:lastPrinted>
  <dcterms:created xsi:type="dcterms:W3CDTF">2019-11-25T10:47:00Z</dcterms:created>
  <dcterms:modified xsi:type="dcterms:W3CDTF">2019-12-09T12:39:00Z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